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48"/>
          <w:szCs w:val="48"/>
        </w:rPr>
      </w:pPr>
    </w:p>
    <w:p>
      <w:pPr>
        <w:jc w:val="center"/>
        <w:rPr>
          <w:b/>
          <w:bCs/>
          <w:sz w:val="48"/>
          <w:szCs w:val="48"/>
        </w:rPr>
      </w:pPr>
    </w:p>
    <w:p>
      <w:pPr>
        <w:pStyle w:val="2"/>
      </w:pPr>
    </w:p>
    <w:p/>
    <w:p>
      <w:pPr>
        <w:jc w:val="center"/>
        <w:rPr>
          <w:b/>
          <w:bCs/>
          <w:color w:val="000000"/>
          <w:kern w:val="0"/>
          <w:sz w:val="48"/>
          <w:szCs w:val="48"/>
        </w:rPr>
      </w:pPr>
      <w:r>
        <w:rPr>
          <w:rFonts w:hint="eastAsia"/>
          <w:b/>
          <w:bCs/>
          <w:color w:val="000000"/>
          <w:kern w:val="0"/>
          <w:sz w:val="48"/>
          <w:szCs w:val="48"/>
        </w:rPr>
        <w:t>佰润新材（寿光）</w:t>
      </w:r>
      <w:r>
        <w:rPr>
          <w:b/>
          <w:bCs/>
          <w:color w:val="000000"/>
          <w:kern w:val="0"/>
          <w:sz w:val="48"/>
          <w:szCs w:val="48"/>
        </w:rPr>
        <w:t>有限公司</w:t>
      </w:r>
    </w:p>
    <w:p>
      <w:pPr>
        <w:jc w:val="center"/>
        <w:rPr>
          <w:b/>
          <w:bCs/>
          <w:color w:val="000000"/>
          <w:kern w:val="0"/>
          <w:sz w:val="48"/>
          <w:szCs w:val="48"/>
        </w:rPr>
      </w:pPr>
      <w:r>
        <w:rPr>
          <w:b/>
          <w:bCs/>
          <w:color w:val="000000"/>
          <w:kern w:val="0"/>
          <w:sz w:val="48"/>
          <w:szCs w:val="48"/>
        </w:rPr>
        <w:t>年产</w:t>
      </w:r>
      <w:r>
        <w:rPr>
          <w:rFonts w:hint="eastAsia"/>
          <w:b/>
          <w:bCs/>
          <w:color w:val="000000"/>
          <w:kern w:val="0"/>
          <w:sz w:val="48"/>
          <w:szCs w:val="48"/>
        </w:rPr>
        <w:t>10万吨氯化石蜡</w:t>
      </w:r>
      <w:r>
        <w:rPr>
          <w:b/>
          <w:bCs/>
          <w:color w:val="000000"/>
          <w:kern w:val="0"/>
          <w:sz w:val="48"/>
          <w:szCs w:val="48"/>
        </w:rPr>
        <w:t>项目</w:t>
      </w:r>
    </w:p>
    <w:p>
      <w:pPr>
        <w:jc w:val="center"/>
        <w:rPr>
          <w:b/>
          <w:bCs/>
          <w:color w:val="000000"/>
          <w:kern w:val="0"/>
          <w:sz w:val="48"/>
          <w:szCs w:val="48"/>
        </w:rPr>
      </w:pPr>
    </w:p>
    <w:p>
      <w:pPr>
        <w:jc w:val="center"/>
        <w:rPr>
          <w:b/>
          <w:bCs/>
          <w:color w:val="000000"/>
          <w:kern w:val="0"/>
          <w:sz w:val="48"/>
          <w:szCs w:val="48"/>
        </w:rPr>
      </w:pPr>
    </w:p>
    <w:p>
      <w:pPr>
        <w:jc w:val="center"/>
        <w:rPr>
          <w:b/>
          <w:bCs/>
          <w:color w:val="000000"/>
          <w:kern w:val="0"/>
          <w:sz w:val="48"/>
          <w:szCs w:val="48"/>
        </w:rPr>
      </w:pPr>
    </w:p>
    <w:p>
      <w:pPr>
        <w:pStyle w:val="2"/>
      </w:pPr>
    </w:p>
    <w:p>
      <w:pPr>
        <w:jc w:val="center"/>
        <w:rPr>
          <w:b/>
          <w:bCs/>
          <w:color w:val="000000"/>
          <w:kern w:val="0"/>
          <w:sz w:val="48"/>
          <w:szCs w:val="48"/>
        </w:rPr>
      </w:pPr>
    </w:p>
    <w:p>
      <w:pPr>
        <w:jc w:val="center"/>
        <w:rPr>
          <w:b/>
          <w:bCs/>
          <w:color w:val="000000"/>
          <w:kern w:val="0"/>
          <w:sz w:val="48"/>
          <w:szCs w:val="48"/>
        </w:rPr>
      </w:pPr>
      <w:r>
        <w:rPr>
          <w:b/>
          <w:bCs/>
          <w:color w:val="000000"/>
          <w:kern w:val="0"/>
          <w:sz w:val="48"/>
          <w:szCs w:val="48"/>
        </w:rPr>
        <w:t>竣工环境保护</w:t>
      </w:r>
    </w:p>
    <w:p>
      <w:pPr>
        <w:jc w:val="center"/>
        <w:rPr>
          <w:b/>
          <w:bCs/>
          <w:color w:val="000000"/>
          <w:kern w:val="0"/>
          <w:sz w:val="48"/>
          <w:szCs w:val="48"/>
        </w:rPr>
      </w:pPr>
      <w:r>
        <w:rPr>
          <w:b/>
          <w:bCs/>
          <w:color w:val="000000"/>
          <w:kern w:val="0"/>
          <w:sz w:val="48"/>
          <w:szCs w:val="48"/>
        </w:rPr>
        <w:t>验收监测报告</w:t>
      </w:r>
    </w:p>
    <w:p>
      <w:pPr>
        <w:pStyle w:val="23"/>
        <w:kinsoku w:val="0"/>
        <w:overflowPunct w:val="0"/>
        <w:ind w:left="91" w:right="108"/>
        <w:jc w:val="center"/>
        <w:rPr>
          <w:b/>
          <w:bCs/>
          <w:sz w:val="32"/>
          <w:szCs w:val="32"/>
        </w:rPr>
      </w:pPr>
    </w:p>
    <w:p>
      <w:pPr>
        <w:pStyle w:val="23"/>
        <w:kinsoku w:val="0"/>
        <w:overflowPunct w:val="0"/>
        <w:ind w:left="91" w:right="108"/>
        <w:jc w:val="center"/>
        <w:rPr>
          <w:b/>
          <w:bCs/>
          <w:sz w:val="32"/>
          <w:szCs w:val="32"/>
        </w:rPr>
      </w:pPr>
    </w:p>
    <w:p>
      <w:pPr>
        <w:pStyle w:val="23"/>
        <w:kinsoku w:val="0"/>
        <w:overflowPunct w:val="0"/>
        <w:ind w:left="91" w:right="108"/>
        <w:jc w:val="center"/>
        <w:rPr>
          <w:b/>
          <w:bCs/>
          <w:sz w:val="32"/>
          <w:szCs w:val="32"/>
        </w:rPr>
      </w:pPr>
    </w:p>
    <w:p>
      <w:pPr>
        <w:pStyle w:val="23"/>
        <w:kinsoku w:val="0"/>
        <w:overflowPunct w:val="0"/>
        <w:ind w:left="91" w:right="108"/>
        <w:jc w:val="center"/>
        <w:rPr>
          <w:b/>
          <w:bCs/>
          <w:sz w:val="32"/>
          <w:szCs w:val="32"/>
        </w:rPr>
      </w:pPr>
    </w:p>
    <w:p>
      <w:pPr>
        <w:pStyle w:val="23"/>
        <w:kinsoku w:val="0"/>
        <w:overflowPunct w:val="0"/>
        <w:ind w:left="91" w:right="108"/>
        <w:jc w:val="center"/>
        <w:rPr>
          <w:b/>
          <w:bCs/>
          <w:sz w:val="32"/>
          <w:szCs w:val="32"/>
        </w:rPr>
      </w:pPr>
    </w:p>
    <w:p>
      <w:pPr>
        <w:pStyle w:val="23"/>
        <w:kinsoku w:val="0"/>
        <w:overflowPunct w:val="0"/>
        <w:ind w:left="91" w:right="108"/>
        <w:jc w:val="center"/>
        <w:rPr>
          <w:b/>
          <w:bCs/>
          <w:sz w:val="32"/>
          <w:szCs w:val="32"/>
        </w:rPr>
      </w:pPr>
    </w:p>
    <w:p>
      <w:pPr>
        <w:pStyle w:val="23"/>
        <w:kinsoku w:val="0"/>
        <w:overflowPunct w:val="0"/>
        <w:ind w:left="91" w:right="108"/>
        <w:jc w:val="center"/>
        <w:rPr>
          <w:b/>
          <w:bCs/>
          <w:sz w:val="32"/>
          <w:szCs w:val="32"/>
        </w:rPr>
      </w:pPr>
      <w:r>
        <w:rPr>
          <w:b/>
          <w:bCs/>
          <w:sz w:val="32"/>
          <w:szCs w:val="32"/>
        </w:rPr>
        <w:t>山东潍科检测服务有限公司</w:t>
      </w:r>
    </w:p>
    <w:p>
      <w:pPr>
        <w:pStyle w:val="23"/>
        <w:kinsoku w:val="0"/>
        <w:overflowPunct w:val="0"/>
        <w:ind w:left="91" w:right="108"/>
        <w:jc w:val="center"/>
        <w:rPr>
          <w:b/>
          <w:bCs/>
          <w:sz w:val="32"/>
          <w:szCs w:val="32"/>
        </w:rPr>
      </w:pPr>
      <w:r>
        <w:rPr>
          <w:b/>
          <w:bCs/>
          <w:sz w:val="32"/>
          <w:szCs w:val="32"/>
        </w:rPr>
        <w:t>二〇二</w:t>
      </w:r>
      <w:r>
        <w:rPr>
          <w:rFonts w:hint="eastAsia"/>
          <w:b/>
          <w:bCs/>
          <w:sz w:val="32"/>
          <w:szCs w:val="32"/>
        </w:rPr>
        <w:t>四</w:t>
      </w:r>
      <w:r>
        <w:rPr>
          <w:b/>
          <w:bCs/>
          <w:sz w:val="32"/>
          <w:szCs w:val="32"/>
        </w:rPr>
        <w:t>年</w:t>
      </w:r>
      <w:r>
        <w:rPr>
          <w:rFonts w:hint="eastAsia"/>
          <w:b/>
          <w:bCs/>
          <w:sz w:val="32"/>
          <w:szCs w:val="32"/>
          <w:lang w:val="en-US" w:eastAsia="zh-CN"/>
        </w:rPr>
        <w:t>八</w:t>
      </w:r>
      <w:r>
        <w:rPr>
          <w:b/>
          <w:bCs/>
          <w:sz w:val="32"/>
          <w:szCs w:val="32"/>
        </w:rPr>
        <w:t>月</w:t>
      </w:r>
    </w:p>
    <w:p>
      <w:pPr>
        <w:pStyle w:val="23"/>
        <w:kinsoku w:val="0"/>
        <w:overflowPunct w:val="0"/>
        <w:ind w:left="89" w:right="107" w:firstLine="723"/>
        <w:jc w:val="center"/>
        <w:rPr>
          <w:b/>
          <w:bCs/>
          <w:sz w:val="36"/>
          <w:szCs w:val="36"/>
        </w:rPr>
      </w:pPr>
    </w:p>
    <w:p>
      <w:pPr>
        <w:pStyle w:val="23"/>
        <w:kinsoku w:val="0"/>
        <w:overflowPunct w:val="0"/>
        <w:ind w:left="89" w:right="107" w:firstLine="723"/>
        <w:jc w:val="center"/>
        <w:rPr>
          <w:b/>
          <w:bCs/>
          <w:sz w:val="36"/>
          <w:szCs w:val="36"/>
        </w:rPr>
      </w:pPr>
    </w:p>
    <w:p>
      <w:pPr>
        <w:jc w:val="center"/>
        <w:rPr>
          <w:b/>
          <w:sz w:val="48"/>
          <w:szCs w:val="48"/>
        </w:rPr>
      </w:pPr>
    </w:p>
    <w:p>
      <w:pPr>
        <w:jc w:val="center"/>
        <w:rPr>
          <w:b/>
          <w:sz w:val="48"/>
          <w:szCs w:val="48"/>
        </w:rPr>
      </w:pPr>
    </w:p>
    <w:p>
      <w:pPr>
        <w:jc w:val="center"/>
        <w:rPr>
          <w:b/>
          <w:sz w:val="48"/>
          <w:szCs w:val="48"/>
        </w:rPr>
      </w:pPr>
    </w:p>
    <w:p>
      <w:pPr>
        <w:jc w:val="center"/>
        <w:rPr>
          <w:b/>
          <w:sz w:val="48"/>
          <w:szCs w:val="48"/>
        </w:rPr>
      </w:pPr>
      <w:r>
        <w:rPr>
          <w:b/>
          <w:sz w:val="48"/>
          <w:szCs w:val="48"/>
        </w:rPr>
        <w:t>建设项目竣工环境保护</w:t>
      </w:r>
    </w:p>
    <w:p>
      <w:pPr>
        <w:jc w:val="center"/>
        <w:rPr>
          <w:b/>
          <w:sz w:val="48"/>
          <w:szCs w:val="48"/>
        </w:rPr>
      </w:pPr>
      <w:r>
        <w:rPr>
          <w:b/>
          <w:sz w:val="48"/>
          <w:szCs w:val="48"/>
        </w:rPr>
        <w:t>验收监测报告</w:t>
      </w:r>
    </w:p>
    <w:p>
      <w:pPr>
        <w:autoSpaceDE w:val="0"/>
        <w:autoSpaceDN w:val="0"/>
        <w:adjustRightInd w:val="0"/>
        <w:jc w:val="center"/>
        <w:rPr>
          <w:color w:val="000000"/>
          <w:sz w:val="32"/>
          <w:szCs w:val="32"/>
        </w:rPr>
      </w:pPr>
    </w:p>
    <w:p>
      <w:pPr>
        <w:jc w:val="center"/>
        <w:rPr>
          <w:color w:val="auto"/>
          <w:sz w:val="32"/>
          <w:szCs w:val="32"/>
        </w:rPr>
      </w:pPr>
      <w:r>
        <w:rPr>
          <w:color w:val="auto"/>
          <w:sz w:val="32"/>
          <w:szCs w:val="32"/>
        </w:rPr>
        <w:t>潍科（验）字202</w:t>
      </w:r>
      <w:r>
        <w:rPr>
          <w:rFonts w:hint="eastAsia"/>
          <w:color w:val="auto"/>
          <w:sz w:val="32"/>
          <w:szCs w:val="32"/>
        </w:rPr>
        <w:t>4</w:t>
      </w:r>
      <w:r>
        <w:rPr>
          <w:color w:val="auto"/>
          <w:sz w:val="32"/>
          <w:szCs w:val="32"/>
        </w:rPr>
        <w:t>第02号</w:t>
      </w:r>
    </w:p>
    <w:p>
      <w:pPr>
        <w:widowControl/>
        <w:spacing w:line="357" w:lineRule="atLeast"/>
        <w:ind w:firstLine="1600" w:firstLineChars="500"/>
        <w:jc w:val="center"/>
        <w:textAlignment w:val="baseline"/>
        <w:rPr>
          <w:color w:val="000000"/>
          <w:kern w:val="0"/>
          <w:sz w:val="32"/>
          <w:szCs w:val="32"/>
          <w:u w:color="000000"/>
        </w:rPr>
      </w:pPr>
    </w:p>
    <w:p>
      <w:pPr>
        <w:widowControl/>
        <w:spacing w:line="357" w:lineRule="atLeast"/>
        <w:ind w:firstLine="1600" w:firstLineChars="500"/>
        <w:jc w:val="center"/>
        <w:textAlignment w:val="baseline"/>
        <w:rPr>
          <w:color w:val="000000"/>
          <w:kern w:val="0"/>
          <w:sz w:val="32"/>
          <w:szCs w:val="32"/>
          <w:u w:color="000000"/>
        </w:rPr>
      </w:pPr>
    </w:p>
    <w:p>
      <w:pPr>
        <w:ind w:firstLine="1606" w:firstLineChars="500"/>
        <w:rPr>
          <w:b/>
          <w:bCs/>
          <w:sz w:val="32"/>
          <w:szCs w:val="32"/>
        </w:rPr>
      </w:pPr>
    </w:p>
    <w:p>
      <w:pPr>
        <w:jc w:val="left"/>
        <w:rPr>
          <w:b/>
          <w:bCs/>
          <w:sz w:val="32"/>
          <w:szCs w:val="32"/>
        </w:rPr>
      </w:pPr>
    </w:p>
    <w:p>
      <w:pPr>
        <w:jc w:val="center"/>
        <w:rPr>
          <w:b/>
          <w:sz w:val="32"/>
          <w:szCs w:val="32"/>
        </w:rPr>
      </w:pPr>
      <w:r>
        <w:rPr>
          <w:b/>
          <w:sz w:val="32"/>
          <w:szCs w:val="32"/>
        </w:rPr>
        <w:t xml:space="preserve"> 项目名称： 年产</w:t>
      </w:r>
      <w:r>
        <w:rPr>
          <w:rFonts w:hint="eastAsia"/>
          <w:b/>
          <w:sz w:val="32"/>
          <w:szCs w:val="32"/>
        </w:rPr>
        <w:t>10万吨氯化石蜡</w:t>
      </w:r>
      <w:r>
        <w:rPr>
          <w:b/>
          <w:sz w:val="32"/>
          <w:szCs w:val="32"/>
        </w:rPr>
        <w:t>项目</w:t>
      </w:r>
    </w:p>
    <w:p>
      <w:pPr>
        <w:ind w:firstLine="1767" w:firstLineChars="550"/>
        <w:rPr>
          <w:b/>
          <w:sz w:val="32"/>
          <w:szCs w:val="32"/>
        </w:rPr>
      </w:pPr>
      <w:r>
        <w:rPr>
          <w:b/>
          <w:sz w:val="32"/>
          <w:szCs w:val="32"/>
        </w:rPr>
        <w:t>建设单位：</w:t>
      </w:r>
      <w:r>
        <w:rPr>
          <w:rFonts w:hint="eastAsia"/>
          <w:b/>
          <w:sz w:val="32"/>
          <w:szCs w:val="32"/>
        </w:rPr>
        <w:t>佰润新材（寿光）</w:t>
      </w:r>
      <w:r>
        <w:rPr>
          <w:b/>
          <w:sz w:val="32"/>
          <w:szCs w:val="32"/>
        </w:rPr>
        <w:t xml:space="preserve">有限公司              </w:t>
      </w:r>
    </w:p>
    <w:p>
      <w:pPr>
        <w:jc w:val="center"/>
        <w:rPr>
          <w:b/>
          <w:bCs/>
          <w:sz w:val="32"/>
          <w:szCs w:val="32"/>
        </w:rPr>
      </w:pPr>
      <w:r>
        <w:rPr>
          <w:b/>
          <w:bCs/>
          <w:sz w:val="32"/>
          <w:szCs w:val="32"/>
        </w:rPr>
        <w:t xml:space="preserve">             </w:t>
      </w:r>
    </w:p>
    <w:p>
      <w:pPr>
        <w:jc w:val="center"/>
        <w:rPr>
          <w:b/>
          <w:bCs/>
          <w:sz w:val="32"/>
          <w:szCs w:val="32"/>
        </w:rPr>
      </w:pPr>
    </w:p>
    <w:p>
      <w:pPr>
        <w:jc w:val="center"/>
        <w:rPr>
          <w:b/>
          <w:bCs/>
          <w:sz w:val="32"/>
          <w:szCs w:val="32"/>
        </w:rPr>
      </w:pPr>
    </w:p>
    <w:p>
      <w:pPr>
        <w:pStyle w:val="128"/>
        <w:rPr>
          <w:b/>
          <w:bCs/>
          <w:sz w:val="32"/>
          <w:szCs w:val="32"/>
        </w:rPr>
      </w:pPr>
    </w:p>
    <w:p>
      <w:pPr>
        <w:pStyle w:val="128"/>
        <w:rPr>
          <w:b/>
          <w:bCs/>
          <w:sz w:val="32"/>
          <w:szCs w:val="32"/>
        </w:rPr>
      </w:pPr>
    </w:p>
    <w:p>
      <w:pPr>
        <w:jc w:val="center"/>
        <w:rPr>
          <w:b/>
          <w:bCs/>
          <w:sz w:val="32"/>
          <w:szCs w:val="32"/>
        </w:rPr>
      </w:pPr>
    </w:p>
    <w:p>
      <w:pPr>
        <w:jc w:val="center"/>
        <w:rPr>
          <w:sz w:val="32"/>
          <w:szCs w:val="32"/>
        </w:rPr>
      </w:pPr>
      <w:r>
        <w:rPr>
          <w:sz w:val="32"/>
          <w:szCs w:val="32"/>
        </w:rPr>
        <w:t>山东潍科检测服务有限公司</w:t>
      </w:r>
    </w:p>
    <w:p>
      <w:pPr>
        <w:jc w:val="center"/>
        <w:rPr>
          <w:sz w:val="32"/>
          <w:szCs w:val="32"/>
        </w:rPr>
        <w:sectPr>
          <w:pgSz w:w="11906" w:h="16838"/>
          <w:pgMar w:top="1134" w:right="1588" w:bottom="1134" w:left="1588" w:header="720" w:footer="720" w:gutter="0"/>
          <w:pgBorders>
            <w:top w:val="none" w:sz="0" w:space="0"/>
            <w:left w:val="none" w:sz="0" w:space="0"/>
            <w:bottom w:val="none" w:sz="0" w:space="0"/>
            <w:right w:val="none" w:sz="0" w:space="0"/>
          </w:pgBorders>
          <w:pgNumType w:fmt="numberInDash" w:start="1"/>
          <w:cols w:space="720" w:num="1"/>
          <w:docGrid w:type="lines" w:linePitch="312" w:charSpace="0"/>
        </w:sectPr>
      </w:pPr>
      <w:r>
        <w:rPr>
          <w:sz w:val="32"/>
          <w:szCs w:val="32"/>
        </w:rPr>
        <w:t>202</w:t>
      </w:r>
      <w:r>
        <w:rPr>
          <w:rFonts w:hint="eastAsia"/>
          <w:sz w:val="32"/>
          <w:szCs w:val="32"/>
        </w:rPr>
        <w:t>4</w:t>
      </w:r>
      <w:r>
        <w:rPr>
          <w:sz w:val="32"/>
          <w:szCs w:val="32"/>
        </w:rPr>
        <w:t>年0</w:t>
      </w:r>
      <w:r>
        <w:rPr>
          <w:rFonts w:hint="eastAsia"/>
          <w:sz w:val="32"/>
          <w:szCs w:val="32"/>
          <w:lang w:val="en-US" w:eastAsia="zh-CN"/>
        </w:rPr>
        <w:t>8</w:t>
      </w:r>
      <w:r>
        <w:rPr>
          <w:sz w:val="32"/>
          <w:szCs w:val="32"/>
        </w:rPr>
        <w:t>月</w:t>
      </w:r>
    </w:p>
    <w:p>
      <w:pPr>
        <w:rPr>
          <w:b/>
          <w:bCs/>
          <w:color w:val="333333"/>
          <w:spacing w:val="8"/>
          <w:kern w:val="0"/>
          <w:sz w:val="28"/>
          <w:szCs w:val="28"/>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spacing w:line="360" w:lineRule="auto"/>
        <w:rPr>
          <w:b/>
          <w:bCs/>
          <w:color w:val="000000"/>
          <w:sz w:val="28"/>
          <w:szCs w:val="28"/>
        </w:rPr>
      </w:pPr>
      <w:r>
        <w:rPr>
          <w:b/>
          <w:bCs/>
          <w:color w:val="000000"/>
          <w:sz w:val="28"/>
          <w:szCs w:val="28"/>
        </w:rPr>
        <w:t>建设单位法人代表:</w:t>
      </w:r>
      <w:r>
        <w:rPr>
          <w:b/>
          <w:bCs/>
          <w:color w:val="000000"/>
          <w:sz w:val="28"/>
          <w:szCs w:val="28"/>
        </w:rPr>
        <w:tab/>
      </w:r>
      <w:r>
        <w:rPr>
          <w:rFonts w:hint="eastAsia"/>
          <w:b/>
          <w:bCs/>
          <w:color w:val="000000"/>
          <w:sz w:val="28"/>
          <w:szCs w:val="28"/>
        </w:rPr>
        <w:t>孙建振</w:t>
      </w:r>
    </w:p>
    <w:p>
      <w:pPr>
        <w:spacing w:line="360" w:lineRule="auto"/>
        <w:rPr>
          <w:b/>
          <w:bCs/>
          <w:color w:val="000000"/>
          <w:sz w:val="28"/>
          <w:szCs w:val="28"/>
        </w:rPr>
      </w:pPr>
      <w:r>
        <w:rPr>
          <w:b/>
          <w:bCs/>
          <w:color w:val="000000"/>
          <w:sz w:val="28"/>
          <w:szCs w:val="28"/>
        </w:rPr>
        <w:t>编制单位法人代表:</w:t>
      </w:r>
      <w:r>
        <w:rPr>
          <w:b/>
          <w:bCs/>
          <w:color w:val="000000"/>
          <w:sz w:val="28"/>
          <w:szCs w:val="28"/>
        </w:rPr>
        <w:tab/>
      </w:r>
      <w:r>
        <w:rPr>
          <w:b/>
          <w:bCs/>
          <w:color w:val="000000"/>
          <w:sz w:val="28"/>
          <w:szCs w:val="28"/>
        </w:rPr>
        <w:t xml:space="preserve">孙健 </w:t>
      </w:r>
    </w:p>
    <w:p>
      <w:pPr>
        <w:spacing w:line="360" w:lineRule="auto"/>
        <w:rPr>
          <w:b/>
          <w:bCs/>
          <w:color w:val="000000"/>
          <w:sz w:val="28"/>
          <w:szCs w:val="28"/>
        </w:rPr>
      </w:pPr>
      <w:r>
        <w:rPr>
          <w:b/>
          <w:bCs/>
          <w:color w:val="000000"/>
          <w:sz w:val="28"/>
          <w:szCs w:val="28"/>
        </w:rPr>
        <w:t xml:space="preserve">项目负责人: </w:t>
      </w:r>
      <w:r>
        <w:rPr>
          <w:rFonts w:hint="eastAsia"/>
          <w:b/>
          <w:bCs/>
          <w:color w:val="000000"/>
          <w:sz w:val="28"/>
          <w:szCs w:val="28"/>
        </w:rPr>
        <w:t>董立霞</w:t>
      </w:r>
    </w:p>
    <w:p>
      <w:pPr>
        <w:spacing w:line="360" w:lineRule="auto"/>
        <w:rPr>
          <w:b/>
          <w:bCs/>
          <w:color w:val="000000"/>
          <w:sz w:val="28"/>
          <w:szCs w:val="28"/>
        </w:rPr>
      </w:pPr>
      <w:r>
        <w:rPr>
          <w:b/>
          <w:bCs/>
          <w:color w:val="000000"/>
          <w:sz w:val="28"/>
          <w:szCs w:val="28"/>
        </w:rPr>
        <w:t xml:space="preserve">报告编写人: </w:t>
      </w:r>
      <w:r>
        <w:rPr>
          <w:rFonts w:hint="eastAsia"/>
          <w:b/>
          <w:bCs/>
          <w:color w:val="000000"/>
          <w:sz w:val="28"/>
          <w:szCs w:val="28"/>
        </w:rPr>
        <w:t>董立霞</w:t>
      </w:r>
    </w:p>
    <w:p>
      <w:pPr>
        <w:spacing w:line="360" w:lineRule="auto"/>
        <w:rPr>
          <w:rFonts w:eastAsia="仿宋_GB2312"/>
          <w:b/>
          <w:bCs/>
          <w:color w:val="000000"/>
          <w:sz w:val="28"/>
          <w:szCs w:val="28"/>
        </w:rPr>
      </w:pPr>
    </w:p>
    <w:p>
      <w:pPr>
        <w:spacing w:line="360" w:lineRule="auto"/>
        <w:rPr>
          <w:rFonts w:eastAsia="仿宋_GB2312"/>
          <w:b/>
          <w:bCs/>
          <w:color w:val="000000"/>
          <w:sz w:val="28"/>
          <w:szCs w:val="28"/>
        </w:rPr>
      </w:pPr>
    </w:p>
    <w:p>
      <w:pPr>
        <w:spacing w:line="360" w:lineRule="auto"/>
        <w:rPr>
          <w:b/>
          <w:bCs/>
          <w:color w:val="000000"/>
          <w:sz w:val="28"/>
          <w:szCs w:val="28"/>
        </w:rPr>
      </w:pPr>
      <w:r>
        <w:rPr>
          <w:b/>
          <w:bCs/>
          <w:color w:val="000000"/>
          <w:sz w:val="28"/>
          <w:szCs w:val="28"/>
        </w:rPr>
        <w:t xml:space="preserve">建设单位: </w:t>
      </w:r>
      <w:r>
        <w:rPr>
          <w:rFonts w:hint="eastAsia"/>
          <w:b/>
          <w:bCs/>
          <w:color w:val="000000"/>
          <w:sz w:val="28"/>
          <w:szCs w:val="28"/>
        </w:rPr>
        <w:t>佰润新材（寿光）</w:t>
      </w:r>
      <w:r>
        <w:rPr>
          <w:b/>
          <w:bCs/>
          <w:color w:val="000000"/>
          <w:sz w:val="28"/>
          <w:szCs w:val="28"/>
        </w:rPr>
        <w:t xml:space="preserve">有限公司（盖章）        </w:t>
      </w:r>
    </w:p>
    <w:p>
      <w:pPr>
        <w:spacing w:line="360" w:lineRule="auto"/>
        <w:rPr>
          <w:b/>
          <w:bCs/>
          <w:color w:val="000000"/>
          <w:sz w:val="28"/>
          <w:szCs w:val="28"/>
        </w:rPr>
      </w:pPr>
      <w:r>
        <w:rPr>
          <w:b/>
          <w:bCs/>
          <w:color w:val="000000"/>
          <w:sz w:val="28"/>
          <w:szCs w:val="28"/>
        </w:rPr>
        <w:t xml:space="preserve">电话: </w:t>
      </w:r>
      <w:r>
        <w:rPr>
          <w:rFonts w:hint="eastAsia"/>
          <w:b/>
          <w:bCs/>
          <w:color w:val="000000"/>
          <w:sz w:val="28"/>
          <w:szCs w:val="28"/>
        </w:rPr>
        <w:t>13668660318</w:t>
      </w:r>
      <w:r>
        <w:rPr>
          <w:b/>
          <w:bCs/>
          <w:color w:val="000000"/>
          <w:sz w:val="28"/>
          <w:szCs w:val="28"/>
        </w:rPr>
        <w:t xml:space="preserve">    </w:t>
      </w:r>
    </w:p>
    <w:p>
      <w:pPr>
        <w:spacing w:line="360" w:lineRule="auto"/>
        <w:rPr>
          <w:b/>
          <w:bCs/>
          <w:color w:val="000000"/>
          <w:sz w:val="28"/>
          <w:szCs w:val="28"/>
        </w:rPr>
      </w:pPr>
      <w:r>
        <w:rPr>
          <w:b/>
          <w:bCs/>
          <w:color w:val="000000"/>
          <w:sz w:val="28"/>
          <w:szCs w:val="28"/>
        </w:rPr>
        <w:t xml:space="preserve">传真：                       </w:t>
      </w:r>
    </w:p>
    <w:p>
      <w:pPr>
        <w:spacing w:line="360" w:lineRule="auto"/>
        <w:rPr>
          <w:b/>
          <w:bCs/>
          <w:color w:val="000000"/>
          <w:sz w:val="28"/>
          <w:szCs w:val="28"/>
        </w:rPr>
      </w:pPr>
      <w:r>
        <w:rPr>
          <w:b/>
          <w:bCs/>
          <w:color w:val="000000"/>
          <w:sz w:val="28"/>
          <w:szCs w:val="28"/>
        </w:rPr>
        <w:t xml:space="preserve">邮编: 262700                         </w:t>
      </w:r>
    </w:p>
    <w:p>
      <w:pPr>
        <w:spacing w:line="360" w:lineRule="auto"/>
        <w:rPr>
          <w:b/>
          <w:bCs/>
          <w:sz w:val="24"/>
          <w:szCs w:val="24"/>
        </w:rPr>
      </w:pPr>
      <w:r>
        <w:rPr>
          <w:b/>
          <w:bCs/>
          <w:color w:val="000000"/>
          <w:sz w:val="28"/>
          <w:szCs w:val="28"/>
        </w:rPr>
        <w:t>地址:</w:t>
      </w:r>
      <w:r>
        <w:rPr>
          <w:rFonts w:hint="eastAsia"/>
          <w:b/>
          <w:bCs/>
          <w:color w:val="000000"/>
          <w:sz w:val="28"/>
          <w:szCs w:val="28"/>
        </w:rPr>
        <w:t>山东省潍坊市寿光市洛城街道东环路666号</w:t>
      </w:r>
    </w:p>
    <w:p>
      <w:pPr>
        <w:spacing w:line="360" w:lineRule="auto"/>
        <w:rPr>
          <w:b/>
          <w:bCs/>
          <w:color w:val="000000"/>
          <w:sz w:val="28"/>
          <w:szCs w:val="28"/>
        </w:rPr>
      </w:pPr>
    </w:p>
    <w:p>
      <w:pPr>
        <w:spacing w:line="360" w:lineRule="auto"/>
        <w:rPr>
          <w:b/>
          <w:bCs/>
          <w:color w:val="000000"/>
          <w:sz w:val="28"/>
          <w:szCs w:val="28"/>
        </w:rPr>
      </w:pPr>
    </w:p>
    <w:p>
      <w:pPr>
        <w:spacing w:line="360" w:lineRule="auto"/>
        <w:rPr>
          <w:b/>
          <w:bCs/>
          <w:color w:val="000000"/>
          <w:sz w:val="28"/>
          <w:szCs w:val="28"/>
        </w:rPr>
      </w:pPr>
      <w:r>
        <w:rPr>
          <w:b/>
          <w:bCs/>
          <w:color w:val="000000"/>
          <w:sz w:val="28"/>
          <w:szCs w:val="28"/>
        </w:rPr>
        <w:t>编制单位:</w:t>
      </w:r>
      <w:r>
        <w:rPr>
          <w:b/>
          <w:bCs/>
          <w:color w:val="333333"/>
          <w:spacing w:val="8"/>
          <w:kern w:val="0"/>
          <w:sz w:val="28"/>
          <w:szCs w:val="28"/>
        </w:rPr>
        <w:t xml:space="preserve"> </w:t>
      </w:r>
      <w:r>
        <w:rPr>
          <w:b/>
          <w:bCs/>
          <w:color w:val="000000"/>
          <w:sz w:val="28"/>
          <w:szCs w:val="28"/>
        </w:rPr>
        <w:t>山东潍科检测服务有限公司 （盖章）</w:t>
      </w:r>
    </w:p>
    <w:p>
      <w:pPr>
        <w:spacing w:line="360" w:lineRule="auto"/>
        <w:rPr>
          <w:b/>
          <w:bCs/>
          <w:color w:val="000000"/>
          <w:sz w:val="28"/>
          <w:szCs w:val="28"/>
        </w:rPr>
      </w:pPr>
      <w:r>
        <w:rPr>
          <w:b/>
          <w:bCs/>
          <w:color w:val="000000"/>
          <w:sz w:val="28"/>
          <w:szCs w:val="28"/>
        </w:rPr>
        <w:t>电话:</w:t>
      </w:r>
      <w:r>
        <w:rPr>
          <w:b/>
          <w:bCs/>
          <w:color w:val="333333"/>
          <w:spacing w:val="8"/>
          <w:kern w:val="0"/>
          <w:sz w:val="28"/>
          <w:szCs w:val="28"/>
        </w:rPr>
        <w:t xml:space="preserve"> （0536）5107638</w:t>
      </w:r>
      <w:r>
        <w:rPr>
          <w:b/>
          <w:bCs/>
          <w:color w:val="000000"/>
          <w:sz w:val="28"/>
          <w:szCs w:val="28"/>
        </w:rPr>
        <w:t xml:space="preserve"> </w:t>
      </w:r>
    </w:p>
    <w:p>
      <w:pPr>
        <w:spacing w:line="360" w:lineRule="auto"/>
        <w:rPr>
          <w:b/>
          <w:bCs/>
          <w:color w:val="000000"/>
          <w:sz w:val="28"/>
          <w:szCs w:val="28"/>
        </w:rPr>
      </w:pPr>
      <w:r>
        <w:rPr>
          <w:b/>
          <w:bCs/>
          <w:color w:val="000000"/>
          <w:sz w:val="28"/>
          <w:szCs w:val="28"/>
        </w:rPr>
        <w:t xml:space="preserve">传真: </w:t>
      </w:r>
      <w:r>
        <w:rPr>
          <w:b/>
          <w:bCs/>
          <w:color w:val="333333"/>
          <w:spacing w:val="8"/>
          <w:kern w:val="0"/>
          <w:sz w:val="28"/>
          <w:szCs w:val="28"/>
        </w:rPr>
        <w:t>（0536）5107638</w:t>
      </w:r>
    </w:p>
    <w:p>
      <w:pPr>
        <w:spacing w:line="360" w:lineRule="auto"/>
        <w:rPr>
          <w:b/>
          <w:bCs/>
          <w:color w:val="000000"/>
          <w:sz w:val="28"/>
          <w:szCs w:val="28"/>
        </w:rPr>
      </w:pPr>
      <w:r>
        <w:rPr>
          <w:b/>
          <w:bCs/>
          <w:color w:val="000000"/>
          <w:sz w:val="28"/>
          <w:szCs w:val="28"/>
        </w:rPr>
        <w:t>邮编:</w:t>
      </w:r>
      <w:r>
        <w:rPr>
          <w:b/>
          <w:bCs/>
          <w:color w:val="333333"/>
          <w:spacing w:val="8"/>
          <w:kern w:val="0"/>
          <w:sz w:val="28"/>
          <w:szCs w:val="28"/>
        </w:rPr>
        <w:t xml:space="preserve">  262700</w:t>
      </w:r>
      <w:r>
        <w:rPr>
          <w:b/>
          <w:bCs/>
          <w:color w:val="000000"/>
          <w:sz w:val="28"/>
          <w:szCs w:val="28"/>
        </w:rPr>
        <w:t xml:space="preserve"> </w:t>
      </w:r>
    </w:p>
    <w:p>
      <w:pPr>
        <w:spacing w:line="360" w:lineRule="auto"/>
        <w:rPr>
          <w:b/>
          <w:bCs/>
          <w:color w:val="000000"/>
          <w:sz w:val="28"/>
          <w:szCs w:val="28"/>
        </w:rPr>
      </w:pPr>
      <w:r>
        <w:rPr>
          <w:b/>
          <w:bCs/>
          <w:color w:val="000000"/>
          <w:sz w:val="28"/>
          <w:szCs w:val="28"/>
        </w:rPr>
        <w:t>地址:</w:t>
      </w:r>
      <w:r>
        <w:rPr>
          <w:b/>
          <w:bCs/>
          <w:color w:val="333333"/>
          <w:spacing w:val="8"/>
          <w:kern w:val="0"/>
          <w:sz w:val="28"/>
          <w:szCs w:val="28"/>
        </w:rPr>
        <w:t xml:space="preserve"> </w:t>
      </w:r>
      <w:r>
        <w:rPr>
          <w:b/>
          <w:bCs/>
          <w:color w:val="000000"/>
          <w:sz w:val="28"/>
          <w:szCs w:val="28"/>
        </w:rPr>
        <w:t>寿光市文圣街南兴安路西潍坊科技学院蓝工院研发中心</w:t>
      </w:r>
    </w:p>
    <w:p>
      <w:pPr>
        <w:widowControl/>
        <w:jc w:val="left"/>
        <w:rPr>
          <w:b/>
          <w:bCs/>
          <w:sz w:val="28"/>
          <w:szCs w:val="28"/>
        </w:rPr>
      </w:pPr>
      <w:r>
        <w:rPr>
          <w:rFonts w:eastAsia="仿宋_GB2312"/>
          <w:b/>
          <w:bCs/>
          <w:color w:val="000000"/>
          <w:sz w:val="28"/>
          <w:szCs w:val="28"/>
        </w:rPr>
        <w:br w:type="page"/>
      </w:r>
      <w:r>
        <w:rPr>
          <w:b/>
          <w:bCs/>
          <w:sz w:val="28"/>
          <w:szCs w:val="28"/>
        </w:rPr>
        <w:drawing>
          <wp:inline distT="0" distB="0" distL="0" distR="0">
            <wp:extent cx="5274310" cy="7458075"/>
            <wp:effectExtent l="0" t="0" r="2540" b="9525"/>
            <wp:docPr id="5087093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709399" name="图片 1"/>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74310" cy="7458075"/>
                    </a:xfrm>
                    <a:prstGeom prst="rect">
                      <a:avLst/>
                    </a:prstGeom>
                  </pic:spPr>
                </pic:pic>
              </a:graphicData>
            </a:graphic>
          </wp:inline>
        </w:drawing>
      </w:r>
      <w:r>
        <mc:AlternateContent>
          <mc:Choice Requires="wps">
            <w:drawing>
              <wp:anchor distT="0" distB="0" distL="114300" distR="114300" simplePos="0" relativeHeight="251661312" behindDoc="0" locked="0" layoutInCell="1" allowOverlap="1">
                <wp:simplePos x="0" y="0"/>
                <wp:positionH relativeFrom="column">
                  <wp:posOffset>-550545</wp:posOffset>
                </wp:positionH>
                <wp:positionV relativeFrom="paragraph">
                  <wp:posOffset>3348990</wp:posOffset>
                </wp:positionV>
                <wp:extent cx="6403975" cy="7458075"/>
                <wp:effectExtent l="0" t="0" r="0" b="0"/>
                <wp:wrapNone/>
                <wp:docPr id="622804933" name="文本框 1"/>
                <wp:cNvGraphicFramePr/>
                <a:graphic xmlns:a="http://schemas.openxmlformats.org/drawingml/2006/main">
                  <a:graphicData uri="http://schemas.microsoft.com/office/word/2010/wordprocessingShape">
                    <wps:wsp>
                      <wps:cNvSpPr txBox="1"/>
                      <wps:spPr>
                        <a:xfrm rot="18964346">
                          <a:off x="0" y="0"/>
                          <a:ext cx="6403975" cy="7458075"/>
                        </a:xfrm>
                        <a:prstGeom prst="rect">
                          <a:avLst/>
                        </a:prstGeom>
                        <a:noFill/>
                        <a:ln>
                          <a:noFill/>
                        </a:ln>
                      </wps:spPr>
                      <wps:txbx>
                        <w:txbxContent>
                          <w:p>
                            <w:pPr>
                              <w:widowControl/>
                              <w:jc w:val="center"/>
                              <w:rPr>
                                <w:rFonts w:ascii="宋体" w:hAnsi="宋体"/>
                                <w:b/>
                                <w:color w:val="000000" w:themeColor="text1"/>
                                <w:sz w:val="32"/>
                                <w:szCs w:val="32"/>
                                <w14:shadow w14:blurRad="38100" w14:dist="19050" w14:dir="2700000" w14:sx="100000" w14:sy="100000" w14:kx="0" w14:ky="0" w14:algn="tl">
                                  <w14:schemeClr w14:val="dk1">
                                    <w14:alpha w14:val="60000"/>
                                  </w14:schemeClr>
                                </w14:shadow>
                                <w14:textFill>
                                  <w14:solidFill>
                                    <w14:schemeClr w14:val="tx1"/>
                                  </w14:solidFill>
                                </w14:textFill>
                              </w:rPr>
                            </w:pPr>
                            <w:r>
                              <w:rPr>
                                <w:rFonts w:hint="eastAsia" w:ascii="宋体" w:hAnsi="宋体"/>
                                <w:b/>
                                <w:color w:val="000000" w:themeColor="text1"/>
                                <w:sz w:val="32"/>
                                <w:szCs w:val="32"/>
                                <w14:shadow w14:blurRad="38100" w14:dist="19050" w14:dir="2700000" w14:sx="100000" w14:sy="100000" w14:kx="0" w14:ky="0" w14:algn="tl">
                                  <w14:schemeClr w14:val="dk1">
                                    <w14:alpha w14:val="60000"/>
                                  </w14:schemeClr>
                                </w14:shadow>
                                <w14:textFill>
                                  <w14:solidFill>
                                    <w14:schemeClr w14:val="tx1"/>
                                  </w14:solidFill>
                                </w14:textFill>
                              </w:rPr>
                              <w:t>仅用于佰润新材（寿光）有限公司年产10万吨氯化石蜡项目使用</w:t>
                            </w: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anchor>
            </w:drawing>
          </mc:Choice>
          <mc:Fallback>
            <w:pict>
              <v:shape id="文本框 1" o:spid="_x0000_s1026" o:spt="202" type="#_x0000_t202" style="position:absolute;left:0pt;margin-left:-43.35pt;margin-top:263.7pt;height:587.25pt;width:504.25pt;rotation:-2878837f;z-index:251661312;mso-width-relative:page;mso-height-relative:page;" filled="f" stroked="f" coordsize="21600,21600" o:gfxdata="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EKuQNPbAAAADAEAAA8AAAAAAAAAAQAg&#10;AAAAIgAAAGRycy9kb3ducmV2LnhtbFBLAQIUABQAAAAIAIdO4kDxVm52RAIAAHUEAAAOAAAAAAAA&#10;AAEAIAAAACoBAABkcnMvZTJvRG9jLnhtbFBLBQYAAAAABgAGAFkBAADgBQAAAAA=&#10;">
                <v:fill on="f" focussize="0,0"/>
                <v:stroke on="f"/>
                <v:imagedata o:title=""/>
                <o:lock v:ext="edit" aspectratio="f"/>
                <v:textbox style="mso-fit-shape-to-text:t;">
                  <w:txbxContent>
                    <w:p>
                      <w:pPr>
                        <w:widowControl/>
                        <w:jc w:val="center"/>
                        <w:rPr>
                          <w:rFonts w:ascii="宋体" w:hAnsi="宋体"/>
                          <w:b/>
                          <w:color w:val="000000" w:themeColor="text1"/>
                          <w:sz w:val="32"/>
                          <w:szCs w:val="32"/>
                          <w14:shadow w14:blurRad="38100" w14:dist="19050" w14:dir="2700000" w14:sx="100000" w14:sy="100000" w14:kx="0" w14:ky="0" w14:algn="tl">
                            <w14:schemeClr w14:val="dk1">
                              <w14:alpha w14:val="60000"/>
                            </w14:schemeClr>
                          </w14:shadow>
                          <w14:textFill>
                            <w14:solidFill>
                              <w14:schemeClr w14:val="tx1"/>
                            </w14:solidFill>
                          </w14:textFill>
                        </w:rPr>
                      </w:pPr>
                      <w:r>
                        <w:rPr>
                          <w:rFonts w:hint="eastAsia" w:ascii="宋体" w:hAnsi="宋体"/>
                          <w:b/>
                          <w:color w:val="000000" w:themeColor="text1"/>
                          <w:sz w:val="32"/>
                          <w:szCs w:val="32"/>
                          <w14:shadow w14:blurRad="38100" w14:dist="19050" w14:dir="2700000" w14:sx="100000" w14:sy="100000" w14:kx="0" w14:ky="0" w14:algn="tl">
                            <w14:schemeClr w14:val="dk1">
                              <w14:alpha w14:val="60000"/>
                            </w14:schemeClr>
                          </w14:shadow>
                          <w14:textFill>
                            <w14:solidFill>
                              <w14:schemeClr w14:val="tx1"/>
                            </w14:solidFill>
                          </w14:textFill>
                        </w:rPr>
                        <w:t>仅用于佰润新材（寿光）有限公司年产10万吨氯化石蜡项目使用</w:t>
                      </w:r>
                    </w:p>
                  </w:txbxContent>
                </v:textbox>
              </v:shape>
            </w:pict>
          </mc:Fallback>
        </mc:AlternateContent>
      </w:r>
    </w:p>
    <w:p>
      <w:pPr>
        <w:widowControl/>
        <w:spacing w:line="360" w:lineRule="auto"/>
        <w:jc w:val="left"/>
        <w:rPr>
          <w:sz w:val="28"/>
          <w:szCs w:val="28"/>
        </w:rPr>
      </w:pPr>
      <w:r>
        <w:rPr>
          <w:sz w:val="28"/>
          <w:szCs w:val="28"/>
        </w:rPr>
        <w:t>监测承担单位：山东潍科检测服务有限公司</w:t>
      </w:r>
    </w:p>
    <w:p>
      <w:pPr>
        <w:widowControl/>
        <w:jc w:val="left"/>
      </w:pPr>
      <w:r>
        <w:br w:type="page"/>
      </w:r>
    </w:p>
    <w:p>
      <w:pPr>
        <w:spacing w:line="360" w:lineRule="auto"/>
        <w:jc w:val="center"/>
        <w:rPr>
          <w:b/>
          <w:bCs/>
          <w:sz w:val="36"/>
          <w:szCs w:val="36"/>
        </w:rPr>
      </w:pPr>
    </w:p>
    <w:p>
      <w:pPr>
        <w:spacing w:line="360" w:lineRule="auto"/>
        <w:jc w:val="center"/>
        <w:rPr>
          <w:b/>
          <w:bCs/>
          <w:sz w:val="36"/>
          <w:szCs w:val="36"/>
        </w:rPr>
      </w:pPr>
      <w:r>
        <w:rPr>
          <w:rFonts w:hint="eastAsia"/>
          <w:b/>
          <w:bCs/>
          <w:sz w:val="36"/>
          <w:szCs w:val="36"/>
        </w:rPr>
        <w:t>佰润新材（寿光）</w:t>
      </w:r>
      <w:r>
        <w:rPr>
          <w:b/>
          <w:bCs/>
          <w:sz w:val="36"/>
          <w:szCs w:val="36"/>
        </w:rPr>
        <w:t>有限公司</w:t>
      </w:r>
    </w:p>
    <w:p>
      <w:pPr>
        <w:spacing w:line="360" w:lineRule="auto"/>
        <w:jc w:val="center"/>
        <w:rPr>
          <w:b/>
          <w:bCs/>
          <w:sz w:val="36"/>
          <w:szCs w:val="36"/>
        </w:rPr>
      </w:pPr>
      <w:r>
        <w:rPr>
          <w:b/>
          <w:bCs/>
          <w:sz w:val="36"/>
          <w:szCs w:val="36"/>
        </w:rPr>
        <w:t>年产</w:t>
      </w:r>
      <w:r>
        <w:rPr>
          <w:rFonts w:hint="eastAsia"/>
          <w:b/>
          <w:bCs/>
          <w:sz w:val="36"/>
          <w:szCs w:val="36"/>
        </w:rPr>
        <w:t>10万吨氯化石蜡</w:t>
      </w:r>
      <w:r>
        <w:rPr>
          <w:b/>
          <w:bCs/>
          <w:sz w:val="36"/>
          <w:szCs w:val="36"/>
        </w:rPr>
        <w:t>项目</w:t>
      </w:r>
    </w:p>
    <w:p>
      <w:pPr>
        <w:spacing w:line="360" w:lineRule="auto"/>
        <w:jc w:val="center"/>
        <w:rPr>
          <w:b/>
          <w:bCs/>
          <w:sz w:val="36"/>
          <w:szCs w:val="36"/>
        </w:rPr>
      </w:pPr>
      <w:r>
        <w:rPr>
          <w:b/>
          <w:bCs/>
          <w:sz w:val="36"/>
          <w:szCs w:val="36"/>
        </w:rPr>
        <w:t>竣工环境保护验收监测报告书</w:t>
      </w:r>
    </w:p>
    <w:p>
      <w:pPr>
        <w:spacing w:line="360" w:lineRule="auto"/>
        <w:ind w:firstLine="640"/>
        <w:jc w:val="center"/>
        <w:rPr>
          <w:sz w:val="32"/>
          <w:szCs w:val="32"/>
        </w:rPr>
      </w:pPr>
    </w:p>
    <w:p>
      <w:pPr>
        <w:spacing w:line="360" w:lineRule="auto"/>
        <w:ind w:firstLine="640"/>
        <w:jc w:val="center"/>
        <w:rPr>
          <w:sz w:val="32"/>
          <w:szCs w:val="32"/>
        </w:rPr>
      </w:pPr>
    </w:p>
    <w:p>
      <w:pPr>
        <w:spacing w:line="360" w:lineRule="auto"/>
        <w:ind w:firstLine="640"/>
        <w:jc w:val="center"/>
        <w:rPr>
          <w:sz w:val="32"/>
          <w:szCs w:val="32"/>
        </w:rPr>
      </w:pPr>
      <w:r>
        <w:rPr>
          <w:sz w:val="32"/>
          <w:szCs w:val="32"/>
        </w:rPr>
        <w:t>验收报告书审查人员职责表</w:t>
      </w:r>
    </w:p>
    <w:tbl>
      <w:tblPr>
        <w:tblStyle w:val="39"/>
        <w:tblW w:w="852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840" w:type="dxa"/>
            <w:vAlign w:val="center"/>
          </w:tcPr>
          <w:p>
            <w:pPr>
              <w:spacing w:line="360" w:lineRule="auto"/>
              <w:jc w:val="center"/>
              <w:rPr>
                <w:sz w:val="24"/>
                <w:szCs w:val="24"/>
              </w:rPr>
            </w:pPr>
            <w:r>
              <w:rPr>
                <w:sz w:val="24"/>
                <w:szCs w:val="24"/>
              </w:rPr>
              <w:t>职      责</w:t>
            </w:r>
          </w:p>
        </w:tc>
        <w:tc>
          <w:tcPr>
            <w:tcW w:w="2841" w:type="dxa"/>
            <w:vAlign w:val="center"/>
          </w:tcPr>
          <w:p>
            <w:pPr>
              <w:spacing w:line="360" w:lineRule="auto"/>
              <w:jc w:val="center"/>
              <w:rPr>
                <w:sz w:val="24"/>
                <w:szCs w:val="24"/>
              </w:rPr>
            </w:pPr>
            <w:r>
              <w:rPr>
                <w:sz w:val="24"/>
                <w:szCs w:val="24"/>
              </w:rPr>
              <w:t>姓  名</w:t>
            </w:r>
          </w:p>
        </w:tc>
        <w:tc>
          <w:tcPr>
            <w:tcW w:w="2841" w:type="dxa"/>
            <w:vAlign w:val="center"/>
          </w:tcPr>
          <w:p>
            <w:pPr>
              <w:spacing w:line="360" w:lineRule="auto"/>
              <w:jc w:val="center"/>
              <w:rPr>
                <w:sz w:val="24"/>
                <w:szCs w:val="24"/>
              </w:rPr>
            </w:pPr>
            <w:r>
              <w:rPr>
                <w:sz w:val="24"/>
                <w:szCs w:val="24"/>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840" w:type="dxa"/>
            <w:vAlign w:val="center"/>
          </w:tcPr>
          <w:p>
            <w:pPr>
              <w:spacing w:line="360" w:lineRule="auto"/>
              <w:jc w:val="center"/>
              <w:rPr>
                <w:sz w:val="24"/>
                <w:szCs w:val="24"/>
              </w:rPr>
            </w:pPr>
            <w:r>
              <w:rPr>
                <w:sz w:val="24"/>
                <w:szCs w:val="24"/>
              </w:rPr>
              <w:t>项目负责人</w:t>
            </w:r>
          </w:p>
        </w:tc>
        <w:tc>
          <w:tcPr>
            <w:tcW w:w="2841" w:type="dxa"/>
            <w:vAlign w:val="center"/>
          </w:tcPr>
          <w:p>
            <w:pPr>
              <w:spacing w:line="360" w:lineRule="auto"/>
              <w:jc w:val="center"/>
              <w:rPr>
                <w:sz w:val="24"/>
                <w:szCs w:val="24"/>
              </w:rPr>
            </w:pPr>
            <w:r>
              <w:rPr>
                <w:rFonts w:hint="eastAsia"/>
                <w:sz w:val="24"/>
                <w:szCs w:val="24"/>
              </w:rPr>
              <w:t xml:space="preserve">董立霞 </w:t>
            </w:r>
          </w:p>
        </w:tc>
        <w:tc>
          <w:tcPr>
            <w:tcW w:w="2841" w:type="dxa"/>
            <w:vAlign w:val="center"/>
          </w:tcPr>
          <w:p>
            <w:pPr>
              <w:spacing w:line="360"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840" w:type="dxa"/>
            <w:vAlign w:val="center"/>
          </w:tcPr>
          <w:p>
            <w:pPr>
              <w:spacing w:line="360" w:lineRule="auto"/>
              <w:jc w:val="center"/>
              <w:rPr>
                <w:sz w:val="24"/>
                <w:szCs w:val="24"/>
              </w:rPr>
            </w:pPr>
            <w:r>
              <w:rPr>
                <w:sz w:val="24"/>
                <w:szCs w:val="24"/>
              </w:rPr>
              <w:t>报告编写人员</w:t>
            </w:r>
          </w:p>
        </w:tc>
        <w:tc>
          <w:tcPr>
            <w:tcW w:w="2841" w:type="dxa"/>
            <w:vAlign w:val="center"/>
          </w:tcPr>
          <w:p>
            <w:pPr>
              <w:spacing w:line="360" w:lineRule="auto"/>
              <w:jc w:val="center"/>
              <w:rPr>
                <w:sz w:val="24"/>
                <w:szCs w:val="24"/>
              </w:rPr>
            </w:pPr>
            <w:r>
              <w:rPr>
                <w:rFonts w:hint="eastAsia"/>
                <w:sz w:val="24"/>
                <w:szCs w:val="24"/>
              </w:rPr>
              <w:t>董立霞</w:t>
            </w:r>
          </w:p>
        </w:tc>
        <w:tc>
          <w:tcPr>
            <w:tcW w:w="2841" w:type="dxa"/>
            <w:vAlign w:val="center"/>
          </w:tcPr>
          <w:p>
            <w:pPr>
              <w:spacing w:line="360"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840" w:type="dxa"/>
            <w:vAlign w:val="center"/>
          </w:tcPr>
          <w:p>
            <w:pPr>
              <w:spacing w:line="360" w:lineRule="auto"/>
              <w:jc w:val="center"/>
              <w:rPr>
                <w:sz w:val="24"/>
                <w:szCs w:val="24"/>
              </w:rPr>
            </w:pPr>
            <w:r>
              <w:rPr>
                <w:sz w:val="24"/>
                <w:szCs w:val="24"/>
              </w:rPr>
              <w:t>审     核</w:t>
            </w:r>
          </w:p>
        </w:tc>
        <w:tc>
          <w:tcPr>
            <w:tcW w:w="2841" w:type="dxa"/>
            <w:vAlign w:val="center"/>
          </w:tcPr>
          <w:p>
            <w:pPr>
              <w:spacing w:line="360" w:lineRule="auto"/>
              <w:jc w:val="center"/>
              <w:rPr>
                <w:sz w:val="24"/>
                <w:szCs w:val="24"/>
              </w:rPr>
            </w:pPr>
            <w:r>
              <w:rPr>
                <w:sz w:val="24"/>
                <w:szCs w:val="24"/>
              </w:rPr>
              <w:t>陈青云</w:t>
            </w:r>
          </w:p>
        </w:tc>
        <w:tc>
          <w:tcPr>
            <w:tcW w:w="2841" w:type="dxa"/>
            <w:vAlign w:val="center"/>
          </w:tcPr>
          <w:p>
            <w:pPr>
              <w:spacing w:line="360" w:lineRule="auto"/>
              <w:jc w:val="center"/>
              <w:rPr>
                <w:sz w:val="24"/>
                <w:szCs w:val="24"/>
              </w:rPr>
            </w:pPr>
          </w:p>
        </w:tc>
      </w:tr>
    </w:tbl>
    <w:p>
      <w:pPr>
        <w:widowControl/>
        <w:jc w:val="center"/>
        <w:rPr>
          <w:b/>
          <w:bCs/>
          <w:sz w:val="32"/>
          <w:szCs w:val="28"/>
        </w:rPr>
        <w:sectPr>
          <w:headerReference r:id="rId3" w:type="default"/>
          <w:footerReference r:id="rId4" w:type="default"/>
          <w:type w:val="continuous"/>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pPr>
    </w:p>
    <w:p>
      <w:pPr>
        <w:widowControl/>
        <w:jc w:val="center"/>
        <w:rPr>
          <w:b/>
          <w:bCs/>
          <w:sz w:val="32"/>
          <w:szCs w:val="28"/>
        </w:rPr>
      </w:pPr>
      <w:r>
        <w:rPr>
          <w:b/>
          <w:bCs/>
          <w:sz w:val="32"/>
          <w:szCs w:val="28"/>
        </w:rPr>
        <w:t>目   录</w:t>
      </w:r>
    </w:p>
    <w:p>
      <w:pPr>
        <w:pStyle w:val="30"/>
        <w:tabs>
          <w:tab w:val="right" w:pos="3200"/>
          <w:tab w:val="right" w:leader="dot" w:pos="8306"/>
        </w:tabs>
        <w:spacing w:line="360" w:lineRule="auto"/>
        <w:rPr>
          <w:rFonts w:hint="default" w:ascii="Times New Roman" w:hAnsi="Times New Roman" w:eastAsia="宋体" w:cs="Times New Roman"/>
          <w:sz w:val="24"/>
          <w:szCs w:val="24"/>
        </w:rPr>
      </w:pPr>
      <w:r>
        <w:rPr>
          <w:b/>
          <w:bCs/>
          <w:sz w:val="24"/>
          <w:szCs w:val="24"/>
        </w:rPr>
        <w:fldChar w:fldCharType="begin"/>
      </w:r>
      <w:r>
        <w:rPr>
          <w:b/>
          <w:bCs/>
          <w:sz w:val="24"/>
          <w:szCs w:val="24"/>
        </w:rPr>
        <w:instrText xml:space="preserve">TOC \o "1-3" \h \u </w:instrText>
      </w:r>
      <w:r>
        <w:rPr>
          <w:b/>
          <w:bCs/>
          <w:sz w:val="24"/>
          <w:szCs w:val="24"/>
        </w:rPr>
        <w:fldChar w:fldCharType="separate"/>
      </w:r>
      <w:r>
        <w:rPr>
          <w:rFonts w:hint="default" w:ascii="Times New Roman" w:hAnsi="Times New Roman" w:eastAsia="宋体" w:cs="Times New Roman"/>
          <w:bCs/>
          <w:sz w:val="24"/>
          <w:szCs w:val="24"/>
        </w:rPr>
        <w:fldChar w:fldCharType="begin"/>
      </w:r>
      <w:r>
        <w:rPr>
          <w:rFonts w:hint="default" w:ascii="Times New Roman" w:hAnsi="Times New Roman" w:eastAsia="宋体" w:cs="Times New Roman"/>
          <w:bCs/>
          <w:sz w:val="24"/>
          <w:szCs w:val="24"/>
        </w:rPr>
        <w:instrText xml:space="preserve"> HYPERLINK \l _Toc13088 </w:instrText>
      </w:r>
      <w:r>
        <w:rPr>
          <w:rFonts w:hint="default" w:ascii="Times New Roman" w:hAnsi="Times New Roman" w:eastAsia="宋体" w:cs="Times New Roman"/>
          <w:bCs/>
          <w:sz w:val="24"/>
          <w:szCs w:val="24"/>
        </w:rPr>
        <w:fldChar w:fldCharType="separate"/>
      </w:r>
      <w:r>
        <w:rPr>
          <w:rFonts w:hint="default" w:ascii="Times New Roman" w:hAnsi="Times New Roman" w:eastAsia="宋体" w:cs="Times New Roman"/>
          <w:sz w:val="24"/>
          <w:szCs w:val="24"/>
        </w:rPr>
        <w:t>第一章</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t>项目概况</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_Toc13088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sz w:val="24"/>
          <w:szCs w:val="24"/>
        </w:rPr>
        <w:fldChar w:fldCharType="end"/>
      </w:r>
    </w:p>
    <w:p>
      <w:pPr>
        <w:pStyle w:val="30"/>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_Toc17327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第二章  验收依据</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_Toc17327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_Toc21146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2.1法律依据</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_Toc21146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_Toc14081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2.2其他法规、条例</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_Toc14081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_Toc7557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2.3技术文件依据</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_Toc7557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0"/>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_Toc6464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第三章 建设项目工程概况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_Toc6464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_Toc6374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3.1地理位置及厂区平面布置</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_Toc6374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_Toc32608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3.2工程建设内容</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_Toc32608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_Toc20020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3.3主要原辅材料及生产设备</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_Toc20020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_Toc10208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3.4水源及水平衡</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_Toc10208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_Toc14468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3.5工艺流程及产污环节分析</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_Toc14468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_Toc23445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bCs w:val="0"/>
          <w:sz w:val="24"/>
          <w:szCs w:val="24"/>
        </w:rPr>
        <w:t>3.6项目变更情况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_Toc23445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0"/>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_Toc13296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第四章 环境保护设施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_Toc13296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_Toc28442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bCs w:val="0"/>
          <w:sz w:val="24"/>
          <w:szCs w:val="24"/>
        </w:rPr>
        <w:t>4.1 主要污染物及其治理措施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_Toc28442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_Toc20284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4.2 其他环保设施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_Toc20284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_Toc29141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4.3 环保设施投资及“三同时”落实情况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_Toc29141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0"/>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_Toc19350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第五章 环评结论与建议</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_Toc19350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45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_Toc19084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bCs w:val="0"/>
          <w:sz w:val="24"/>
          <w:szCs w:val="24"/>
        </w:rPr>
        <w:t>5.1 环评结论与建议</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_Toc19084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45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_Toc26441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5.2</w:t>
      </w:r>
      <w:r>
        <w:rPr>
          <w:rFonts w:hint="default" w:ascii="Times New Roman" w:hAnsi="Times New Roman" w:eastAsia="宋体" w:cs="Times New Roman"/>
          <w:bCs/>
          <w:sz w:val="24"/>
          <w:szCs w:val="24"/>
        </w:rPr>
        <w:t>审批部门审批决定</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_Toc26441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0"/>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_Toc12071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kern w:val="2"/>
          <w:sz w:val="24"/>
          <w:szCs w:val="24"/>
        </w:rPr>
        <w:t>第六章 验收执行标准</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_Toc12071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_Toc31869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6.1 污染物排放标准</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_Toc31869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0"/>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_Toc5732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kern w:val="2"/>
          <w:sz w:val="24"/>
          <w:szCs w:val="24"/>
        </w:rPr>
        <w:t>第七章 验收监测内容</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_Toc5732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_Toc12739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7.1 有组织废气排放监测</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_Toc12739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_Toc31279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bCs w:val="0"/>
          <w:sz w:val="24"/>
          <w:szCs w:val="24"/>
        </w:rPr>
        <w:t>7.2 无组织废气监测内容</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_Toc31279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_Toc32382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bCs w:val="0"/>
          <w:sz w:val="24"/>
          <w:szCs w:val="24"/>
        </w:rPr>
        <w:t>7.3</w:t>
      </w:r>
      <w:r>
        <w:rPr>
          <w:rFonts w:hint="default" w:ascii="Times New Roman" w:hAnsi="Times New Roman" w:eastAsia="宋体" w:cs="Times New Roman"/>
          <w:sz w:val="24"/>
          <w:szCs w:val="24"/>
        </w:rPr>
        <w:t xml:space="preserve"> 厂界噪声监测内容</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_Toc32382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0"/>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_Toc4424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第八章 质量保证和质量控制</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_Toc4424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_Toc4217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8.1监测分析方法</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_Toc4217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_Toc21478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8.2监测仪器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_Toc21478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_Toc11091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8.3气体监测分析过程中的质量保证和质量控制</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_Toc11091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_Toc31674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8.4  噪声监测分析过程中的质量保证和质量控制</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_Toc31674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0"/>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_Toc8623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第九章 验收监测结果</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_Toc8623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_Toc22725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9.1运营工况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_Toc22725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_Toc11602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9.2污染物排放监测结果及分析</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_Toc11602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_Toc20391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kern w:val="0"/>
          <w:sz w:val="24"/>
          <w:szCs w:val="24"/>
        </w:rPr>
        <w:t>9.3污染物排放总量核算</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_Toc20391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0"/>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_Toc18473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第十章  验收监测结论</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_Toc18473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_Toc2761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10.1项目基本情况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_Toc2761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_Toc15723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10.2验收监测期间工况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_Toc15723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_Toc15858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10.3污染物达标排放情况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_Toc15858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_Toc4292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10.4环保管理检查</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_Toc4292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_Toc25164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10.5环境风险及应急措施检查</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_Toc25164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33"/>
        <w:tabs>
          <w:tab w:val="right" w:leader="dot" w:pos="8306"/>
        </w:tabs>
        <w:spacing w:line="360" w:lineRule="auto"/>
      </w:pPr>
      <w:r>
        <w:rPr>
          <w:rFonts w:hint="default" w:ascii="Times New Roman" w:hAnsi="Times New Roman" w:eastAsia="宋体" w:cs="Times New Roman"/>
          <w:bCs w:val="0"/>
          <w:sz w:val="24"/>
          <w:szCs w:val="24"/>
        </w:rPr>
        <w:fldChar w:fldCharType="begin"/>
      </w:r>
      <w:r>
        <w:rPr>
          <w:rFonts w:hint="default" w:ascii="Times New Roman" w:hAnsi="Times New Roman" w:eastAsia="宋体" w:cs="Times New Roman"/>
          <w:bCs w:val="0"/>
          <w:sz w:val="24"/>
          <w:szCs w:val="24"/>
        </w:rPr>
        <w:instrText xml:space="preserve"> HYPERLINK \l _Toc22712 </w:instrText>
      </w:r>
      <w:r>
        <w:rPr>
          <w:rFonts w:hint="default" w:ascii="Times New Roman" w:hAnsi="Times New Roman" w:eastAsia="宋体" w:cs="Times New Roman"/>
          <w:bCs w:val="0"/>
          <w:sz w:val="24"/>
          <w:szCs w:val="24"/>
        </w:rPr>
        <w:fldChar w:fldCharType="separate"/>
      </w:r>
      <w:r>
        <w:rPr>
          <w:rFonts w:hint="default" w:ascii="Times New Roman" w:hAnsi="Times New Roman" w:eastAsia="宋体" w:cs="Times New Roman"/>
          <w:sz w:val="24"/>
          <w:szCs w:val="24"/>
        </w:rPr>
        <w:t>10.6结论</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_Toc22712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val="0"/>
          <w:sz w:val="24"/>
          <w:szCs w:val="24"/>
        </w:rPr>
        <w:fldChar w:fldCharType="end"/>
      </w:r>
    </w:p>
    <w:p>
      <w:pPr>
        <w:pStyle w:val="9"/>
        <w:spacing w:line="240" w:lineRule="auto"/>
        <w:contextualSpacing/>
        <w:sectPr>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pPr>
      <w:r>
        <w:rPr>
          <w:bCs w:val="0"/>
          <w:szCs w:val="24"/>
        </w:rPr>
        <w:fldChar w:fldCharType="end"/>
      </w:r>
    </w:p>
    <w:p>
      <w:pPr>
        <w:pStyle w:val="9"/>
        <w:spacing w:line="360" w:lineRule="auto"/>
        <w:contextualSpacing/>
      </w:pPr>
      <w:bookmarkStart w:id="0" w:name="_Toc13088"/>
      <w:r>
        <w:t>第一章</w:t>
      </w:r>
      <w:r>
        <w:tab/>
      </w:r>
      <w:r>
        <w:t>项目概况</w:t>
      </w:r>
      <w:bookmarkEnd w:id="0"/>
    </w:p>
    <w:p>
      <w:pPr>
        <w:widowControl/>
        <w:autoSpaceDE w:val="0"/>
        <w:autoSpaceDN w:val="0"/>
        <w:spacing w:line="360" w:lineRule="auto"/>
        <w:ind w:firstLine="480" w:firstLineChars="200"/>
        <w:jc w:val="left"/>
        <w:rPr>
          <w:sz w:val="24"/>
        </w:rPr>
      </w:pPr>
      <w:r>
        <w:rPr>
          <w:rFonts w:hint="eastAsia"/>
          <w:sz w:val="24"/>
        </w:rPr>
        <w:t>佰润新材（寿光）有限公司成立于2020年9月1日，是</w:t>
      </w:r>
      <w:r>
        <w:rPr>
          <w:rFonts w:hint="eastAsia" w:ascii="宋体" w:hAnsi="宋体" w:cs="宋体"/>
          <w:kern w:val="0"/>
          <w:sz w:val="24"/>
          <w:szCs w:val="24"/>
          <w:lang w:bidi="ar"/>
        </w:rPr>
        <w:t>山东大地盐化集团有限公司子公司，</w:t>
      </w:r>
      <w:r>
        <w:rPr>
          <w:rFonts w:hint="eastAsia"/>
          <w:sz w:val="24"/>
        </w:rPr>
        <w:t>厂址位于寿光侯镇化工产业园金源路以南，丰东路以东。公司厂区东侧为空地，南侧隔岔盐路为寿光金太阳热电有限公司，西侧隔丰东路为空地，北侧为山东昊邦化学有限公司。公司占地面积</w:t>
      </w:r>
      <w:r>
        <w:rPr>
          <w:rFonts w:hint="eastAsia"/>
          <w:kern w:val="44"/>
          <w:sz w:val="24"/>
        </w:rPr>
        <w:t>63290</w:t>
      </w:r>
      <w:r>
        <w:rPr>
          <w:rFonts w:hint="eastAsia"/>
          <w:sz w:val="24"/>
        </w:rPr>
        <w:t>m</w:t>
      </w:r>
      <w:r>
        <w:rPr>
          <w:rFonts w:hint="eastAsia"/>
          <w:sz w:val="24"/>
          <w:vertAlign w:val="superscript"/>
        </w:rPr>
        <w:t>2</w:t>
      </w:r>
      <w:r>
        <w:rPr>
          <w:rFonts w:hint="eastAsia"/>
          <w:sz w:val="24"/>
        </w:rPr>
        <w:t>。行业类别为C2661化学试剂和助剂制造。</w:t>
      </w:r>
    </w:p>
    <w:p>
      <w:pPr>
        <w:widowControl/>
        <w:autoSpaceDE w:val="0"/>
        <w:autoSpaceDN w:val="0"/>
        <w:spacing w:line="360" w:lineRule="auto"/>
        <w:ind w:firstLine="480" w:firstLineChars="200"/>
        <w:jc w:val="left"/>
        <w:rPr>
          <w:color w:val="0000FF"/>
          <w:sz w:val="24"/>
        </w:rPr>
      </w:pPr>
      <w:r>
        <w:rPr>
          <w:rFonts w:hint="eastAsia"/>
          <w:sz w:val="24"/>
        </w:rPr>
        <w:t>佰润新材（寿光）有限公司现有项目为年产10万吨氯化石蜡项目，该项目于2020年6月通过潍坊市生态环境局审批，批复文号：潍环审字［2020］25 号，并于2021年12月完成了一期工程（5万吨/年氯化石蜡）自主验收，于2022年10月完成了二期工程（5万吨/年氯化石蜡）自主验收。环保手续完备，目前正常生产。</w:t>
      </w:r>
    </w:p>
    <w:p>
      <w:pPr>
        <w:widowControl/>
        <w:autoSpaceDE w:val="0"/>
        <w:autoSpaceDN w:val="0"/>
        <w:spacing w:line="360" w:lineRule="auto"/>
        <w:ind w:firstLine="480" w:firstLineChars="200"/>
        <w:rPr>
          <w:sz w:val="24"/>
          <w:szCs w:val="24"/>
        </w:rPr>
      </w:pPr>
      <w:r>
        <w:rPr>
          <w:rFonts w:hint="eastAsia"/>
          <w:sz w:val="24"/>
          <w:szCs w:val="24"/>
        </w:rPr>
        <w:t>山东大地盐化集团有限公司成立于2004年1月，注册地址为寿光市侯镇岔河东，法定代表人为李迎堂，注册资本为59241万元，经营范围：生产、销售：原盐、溴素（有效期限以许可证为准）、阻燃剂、终止剂、三氟氯菊酸、白炭黑、四溴双酚 A、十溴二苯醚、饲料添加剂；承揽：管道与设备安装工程；特种设备检验检测服务；销售：盐需物资、黄金、煤炭及制品、化工生产专用设备及配件、机械设备及配件、塑料制品（不含危险化学品）、建筑材料、仪器仪表、机械零部件、钢材、五金产品、电子产品、办公用品；货物仓储（不含违禁品）；货物及技术进出口业务。</w:t>
      </w:r>
    </w:p>
    <w:p>
      <w:pPr>
        <w:widowControl/>
        <w:autoSpaceDE w:val="0"/>
        <w:autoSpaceDN w:val="0"/>
        <w:spacing w:line="360" w:lineRule="auto"/>
        <w:ind w:firstLine="480" w:firstLineChars="200"/>
        <w:rPr>
          <w:sz w:val="24"/>
          <w:szCs w:val="24"/>
        </w:rPr>
      </w:pPr>
      <w:r>
        <w:rPr>
          <w:rFonts w:hint="eastAsia"/>
          <w:sz w:val="24"/>
          <w:szCs w:val="24"/>
        </w:rPr>
        <w:t>山东大地盐化集团有限公司（新建年产10万吨氯化石蜡项目）厂区与佰润新材（寿光）有限公司位于同一个厂区，其年产10万吨氯化石蜡项目（本次验收范围）全部由山东大地盐化集团有限公司投资建设。公辅设施（给排水、供配电、供汽、供气、</w:t>
      </w:r>
      <w:r>
        <w:rPr>
          <w:rFonts w:hint="eastAsia"/>
          <w:color w:val="auto"/>
          <w:sz w:val="24"/>
          <w:szCs w:val="24"/>
        </w:rPr>
        <w:t>制冷、仓库</w:t>
      </w:r>
      <w:r>
        <w:rPr>
          <w:rFonts w:hint="eastAsia"/>
          <w:color w:val="auto"/>
          <w:sz w:val="24"/>
          <w:szCs w:val="24"/>
          <w:highlight w:val="none"/>
        </w:rPr>
        <w:t>、控制室</w:t>
      </w:r>
      <w:r>
        <w:rPr>
          <w:rFonts w:hint="eastAsia"/>
          <w:color w:val="auto"/>
          <w:sz w:val="24"/>
          <w:szCs w:val="24"/>
        </w:rPr>
        <w:t>、化验室、维修间、装卸设施等）两公司共用。该项目依托佰润新材的生产设施（事故氯吸收装置）、储运设施（综合仓库、原料罐区、盐酸罐区、氯气输送主管道、装卸设施）与部分公辅设施（供配电设施、</w:t>
      </w:r>
      <w:r>
        <w:rPr>
          <w:rFonts w:hint="eastAsia"/>
          <w:sz w:val="24"/>
          <w:szCs w:val="24"/>
        </w:rPr>
        <w:t>给排水设施、供汽主管道、供气设施、制冷设施、控制/监控系统、维修间、化验室），依托泰普新能源的循环水设施，依托大地集团的行政办公设施（集团办公楼）。山东大地盐化集团有限公司投资32000万元建设年产10万吨氯化石蜡项目，项目于2022年11月17日取得了山东省建设项目备案证明，项目代码为 2211-370783-04- 01-924383。</w:t>
      </w:r>
      <w:bookmarkStart w:id="1" w:name="_Hlk171415237"/>
      <w:r>
        <w:rPr>
          <w:rFonts w:hint="eastAsia"/>
          <w:sz w:val="24"/>
          <w:szCs w:val="24"/>
        </w:rPr>
        <w:t>项目装置区2处（4套/处，7个氯化塔/套）、原料罐区1座、成品罐区一座、中转泵房1座、生产尾气吸收装置1套，购置氯化塔、反应釜、冷凝器、氯化换热器、降膜吸收器、分离器、精制吹风塔、储罐等主要设备248台（套）。项目建成后，形成年产10万吨氯化石蜡（中长链），副产17 万吨的31%盐酸和2800吨10%液体次氯酸钠的生产能力。</w:t>
      </w:r>
      <w:bookmarkEnd w:id="1"/>
    </w:p>
    <w:p>
      <w:pPr>
        <w:widowControl/>
        <w:autoSpaceDE w:val="0"/>
        <w:autoSpaceDN w:val="0"/>
        <w:spacing w:line="360" w:lineRule="auto"/>
        <w:ind w:firstLine="480" w:firstLineChars="200"/>
        <w:rPr>
          <w:rFonts w:ascii="宋体" w:hAnsi="宋体" w:cs="宋体"/>
          <w:color w:val="0000FF"/>
          <w:kern w:val="0"/>
          <w:sz w:val="24"/>
          <w:szCs w:val="24"/>
          <w:lang w:bidi="ar"/>
        </w:rPr>
      </w:pPr>
      <w:r>
        <w:rPr>
          <w:rFonts w:hint="eastAsia" w:ascii="宋体" w:hAnsi="宋体" w:cs="宋体"/>
          <w:kern w:val="0"/>
          <w:sz w:val="24"/>
          <w:szCs w:val="24"/>
          <w:lang w:bidi="ar"/>
        </w:rPr>
        <w:t>山东大地盐化集团有限公司现有工程与新建年产10万吨氯化石蜡项目不在一个厂区，新建项目生产原料及产品</w:t>
      </w:r>
      <w:r>
        <w:rPr>
          <w:rFonts w:hint="eastAsia" w:ascii="宋体" w:hAnsi="宋体" w:cs="宋体"/>
          <w:kern w:val="0"/>
          <w:sz w:val="24"/>
          <w:szCs w:val="24"/>
          <w:lang w:val="en-US" w:eastAsia="zh-CN" w:bidi="ar"/>
        </w:rPr>
        <w:t>全部</w:t>
      </w:r>
      <w:r>
        <w:rPr>
          <w:rFonts w:hint="eastAsia" w:ascii="宋体" w:hAnsi="宋体" w:cs="宋体"/>
          <w:kern w:val="0"/>
          <w:sz w:val="24"/>
          <w:szCs w:val="24"/>
          <w:lang w:bidi="ar"/>
        </w:rPr>
        <w:t>依托佰润新材（寿光）有限公司现有公辅设施。</w:t>
      </w:r>
    </w:p>
    <w:p>
      <w:pPr>
        <w:widowControl/>
        <w:autoSpaceDE w:val="0"/>
        <w:autoSpaceDN w:val="0"/>
        <w:spacing w:line="360" w:lineRule="auto"/>
        <w:ind w:firstLine="480" w:firstLineChars="200"/>
        <w:rPr>
          <w:rFonts w:ascii="宋体" w:hAnsi="宋体" w:cs="宋体"/>
          <w:kern w:val="0"/>
          <w:sz w:val="24"/>
          <w:szCs w:val="24"/>
          <w:lang w:bidi="ar"/>
        </w:rPr>
      </w:pPr>
      <w:r>
        <w:rPr>
          <w:rFonts w:hint="eastAsia" w:ascii="宋体" w:hAnsi="宋体" w:cs="宋体"/>
          <w:kern w:val="0"/>
          <w:sz w:val="24"/>
          <w:szCs w:val="24"/>
          <w:lang w:bidi="ar"/>
        </w:rPr>
        <w:t>变更说明：</w:t>
      </w:r>
      <w:bookmarkStart w:id="2" w:name="_Hlk171415151"/>
      <w:r>
        <w:rPr>
          <w:rFonts w:hint="eastAsia" w:ascii="宋体" w:hAnsi="宋体" w:cs="宋体"/>
          <w:kern w:val="0"/>
          <w:sz w:val="24"/>
          <w:szCs w:val="24"/>
          <w:lang w:bidi="ar"/>
        </w:rPr>
        <w:t>山东大地盐化集团有限公司年</w:t>
      </w:r>
      <w:r>
        <w:rPr>
          <w:kern w:val="0"/>
          <w:sz w:val="24"/>
          <w:szCs w:val="24"/>
          <w:lang w:bidi="ar"/>
        </w:rPr>
        <w:t>产10万吨氯化石蜡项目</w:t>
      </w:r>
      <w:bookmarkEnd w:id="2"/>
      <w:r>
        <w:rPr>
          <w:kern w:val="0"/>
          <w:sz w:val="24"/>
          <w:szCs w:val="24"/>
          <w:lang w:bidi="ar"/>
        </w:rPr>
        <w:t>于</w:t>
      </w:r>
      <w:bookmarkStart w:id="3" w:name="_Hlk171415121"/>
      <w:r>
        <w:rPr>
          <w:kern w:val="0"/>
          <w:sz w:val="24"/>
          <w:szCs w:val="24"/>
          <w:lang w:bidi="ar"/>
        </w:rPr>
        <w:t>2024年3月10日双方签订收购协议，全部资产由</w:t>
      </w:r>
      <w:r>
        <w:rPr>
          <w:sz w:val="24"/>
        </w:rPr>
        <w:t>佰润新材（寿光）有限公司接</w:t>
      </w:r>
      <w:r>
        <w:rPr>
          <w:rFonts w:hint="eastAsia"/>
          <w:sz w:val="24"/>
        </w:rPr>
        <w:t>管</w:t>
      </w:r>
      <w:bookmarkEnd w:id="3"/>
      <w:r>
        <w:rPr>
          <w:rFonts w:hint="eastAsia"/>
          <w:sz w:val="24"/>
        </w:rPr>
        <w:t>（</w:t>
      </w:r>
      <w:r>
        <w:rPr>
          <w:rFonts w:hint="eastAsia"/>
          <w:sz w:val="24"/>
          <w:szCs w:val="24"/>
        </w:rPr>
        <w:t>收购协议见附件3）</w:t>
      </w:r>
      <w:r>
        <w:rPr>
          <w:rFonts w:hint="eastAsia"/>
          <w:sz w:val="24"/>
        </w:rPr>
        <w:t>。</w:t>
      </w:r>
    </w:p>
    <w:p>
      <w:pPr>
        <w:widowControl/>
        <w:autoSpaceDE w:val="0"/>
        <w:autoSpaceDN w:val="0"/>
        <w:spacing w:line="360" w:lineRule="auto"/>
        <w:ind w:firstLine="480" w:firstLineChars="200"/>
        <w:rPr>
          <w:sz w:val="24"/>
          <w:szCs w:val="24"/>
        </w:rPr>
      </w:pPr>
      <w:r>
        <w:rPr>
          <w:sz w:val="24"/>
          <w:szCs w:val="24"/>
        </w:rPr>
        <w:t>根据《中华人民共和国环境保护法》、《中华人民共和国环境影响评价法》和《建设项目环境保护管理条例》的有关规定，受企业委托，</w:t>
      </w:r>
      <w:bookmarkStart w:id="4" w:name="_Hlk171415015"/>
      <w:r>
        <w:rPr>
          <w:rFonts w:hint="eastAsia"/>
          <w:sz w:val="24"/>
          <w:szCs w:val="24"/>
        </w:rPr>
        <w:t>山东同方环境技术服务有限公司</w:t>
      </w:r>
      <w:r>
        <w:rPr>
          <w:sz w:val="24"/>
          <w:szCs w:val="24"/>
        </w:rPr>
        <w:t>于202</w:t>
      </w:r>
      <w:r>
        <w:rPr>
          <w:rFonts w:hint="eastAsia"/>
          <w:sz w:val="24"/>
          <w:szCs w:val="24"/>
        </w:rPr>
        <w:t>3</w:t>
      </w:r>
      <w:r>
        <w:rPr>
          <w:sz w:val="24"/>
          <w:szCs w:val="24"/>
        </w:rPr>
        <w:t>年</w:t>
      </w:r>
      <w:r>
        <w:rPr>
          <w:rFonts w:hint="eastAsia"/>
          <w:sz w:val="24"/>
          <w:szCs w:val="24"/>
        </w:rPr>
        <w:t>7</w:t>
      </w:r>
      <w:r>
        <w:rPr>
          <w:sz w:val="24"/>
          <w:szCs w:val="24"/>
        </w:rPr>
        <w:t>月编制完成了《</w:t>
      </w:r>
      <w:r>
        <w:rPr>
          <w:rFonts w:hint="eastAsia" w:ascii="宋体" w:hAnsi="宋体" w:cs="宋体"/>
          <w:kern w:val="0"/>
          <w:sz w:val="24"/>
          <w:szCs w:val="24"/>
          <w:lang w:bidi="ar"/>
        </w:rPr>
        <w:t>山东大地盐化集团有限公司</w:t>
      </w:r>
      <w:r>
        <w:rPr>
          <w:rFonts w:hint="eastAsia"/>
          <w:sz w:val="24"/>
          <w:szCs w:val="24"/>
        </w:rPr>
        <w:t>年产10万吨氯化石蜡项目</w:t>
      </w:r>
      <w:r>
        <w:rPr>
          <w:sz w:val="24"/>
          <w:szCs w:val="24"/>
        </w:rPr>
        <w:t>环境影响报告书》。潍坊市生态环境局</w:t>
      </w:r>
      <w:r>
        <w:rPr>
          <w:rFonts w:hint="eastAsia"/>
          <w:sz w:val="24"/>
          <w:szCs w:val="24"/>
        </w:rPr>
        <w:t>寿光分局</w:t>
      </w:r>
      <w:r>
        <w:rPr>
          <w:sz w:val="24"/>
          <w:szCs w:val="24"/>
        </w:rPr>
        <w:t>于202</w:t>
      </w:r>
      <w:r>
        <w:rPr>
          <w:rFonts w:hint="eastAsia"/>
          <w:sz w:val="24"/>
          <w:szCs w:val="24"/>
        </w:rPr>
        <w:t>3</w:t>
      </w:r>
      <w:r>
        <w:rPr>
          <w:sz w:val="24"/>
          <w:szCs w:val="24"/>
        </w:rPr>
        <w:t>年</w:t>
      </w:r>
      <w:r>
        <w:rPr>
          <w:rFonts w:hint="eastAsia"/>
          <w:sz w:val="24"/>
          <w:szCs w:val="24"/>
        </w:rPr>
        <w:t>8</w:t>
      </w:r>
      <w:r>
        <w:rPr>
          <w:sz w:val="24"/>
          <w:szCs w:val="24"/>
        </w:rPr>
        <w:t>月</w:t>
      </w:r>
      <w:r>
        <w:rPr>
          <w:rFonts w:hint="eastAsia"/>
          <w:sz w:val="24"/>
          <w:szCs w:val="24"/>
        </w:rPr>
        <w:t>9</w:t>
      </w:r>
      <w:r>
        <w:rPr>
          <w:sz w:val="24"/>
          <w:szCs w:val="24"/>
        </w:rPr>
        <w:t>日对本项目环境影响报告书进行了批复，批准文号</w:t>
      </w:r>
      <w:r>
        <w:rPr>
          <w:rFonts w:hint="eastAsia"/>
          <w:sz w:val="24"/>
          <w:szCs w:val="24"/>
        </w:rPr>
        <w:t>寿</w:t>
      </w:r>
      <w:r>
        <w:rPr>
          <w:sz w:val="24"/>
          <w:szCs w:val="24"/>
        </w:rPr>
        <w:t>环审字【202</w:t>
      </w:r>
      <w:r>
        <w:rPr>
          <w:rFonts w:hint="eastAsia"/>
          <w:sz w:val="24"/>
          <w:szCs w:val="24"/>
        </w:rPr>
        <w:t>3</w:t>
      </w:r>
      <w:r>
        <w:rPr>
          <w:sz w:val="24"/>
          <w:szCs w:val="24"/>
        </w:rPr>
        <w:t>】</w:t>
      </w:r>
      <w:r>
        <w:rPr>
          <w:rFonts w:hint="eastAsia"/>
          <w:sz w:val="24"/>
          <w:szCs w:val="24"/>
        </w:rPr>
        <w:t>21</w:t>
      </w:r>
      <w:r>
        <w:rPr>
          <w:sz w:val="24"/>
          <w:szCs w:val="24"/>
        </w:rPr>
        <w:t>号。</w:t>
      </w:r>
      <w:bookmarkEnd w:id="4"/>
    </w:p>
    <w:p>
      <w:pPr>
        <w:adjustRightInd w:val="0"/>
        <w:snapToGrid w:val="0"/>
        <w:spacing w:line="360" w:lineRule="auto"/>
        <w:ind w:firstLine="480" w:firstLineChars="200"/>
        <w:textAlignment w:val="baseline"/>
        <w:rPr>
          <w:sz w:val="24"/>
          <w:szCs w:val="24"/>
        </w:rPr>
      </w:pPr>
      <w:bookmarkStart w:id="5" w:name="_Hlk171415799"/>
      <w:r>
        <w:rPr>
          <w:sz w:val="24"/>
          <w:szCs w:val="24"/>
        </w:rPr>
        <w:t>项</w:t>
      </w:r>
      <w:r>
        <w:rPr>
          <w:color w:val="auto"/>
          <w:sz w:val="24"/>
          <w:szCs w:val="24"/>
        </w:rPr>
        <w:t>目</w:t>
      </w:r>
      <w:r>
        <w:rPr>
          <w:color w:val="auto"/>
          <w:sz w:val="24"/>
          <w:szCs w:val="24"/>
          <w:highlight w:val="none"/>
        </w:rPr>
        <w:t>于</w:t>
      </w:r>
      <w:r>
        <w:rPr>
          <w:rFonts w:hint="eastAsia"/>
          <w:color w:val="auto"/>
          <w:sz w:val="24"/>
          <w:szCs w:val="24"/>
          <w:highlight w:val="none"/>
        </w:rPr>
        <w:t>2023年</w:t>
      </w:r>
      <w:r>
        <w:rPr>
          <w:rFonts w:hint="eastAsia"/>
          <w:color w:val="auto"/>
          <w:sz w:val="24"/>
          <w:szCs w:val="24"/>
          <w:highlight w:val="none"/>
          <w:lang w:val="en-US" w:eastAsia="zh-CN"/>
        </w:rPr>
        <w:t>12</w:t>
      </w:r>
      <w:r>
        <w:rPr>
          <w:rFonts w:hint="eastAsia"/>
          <w:color w:val="auto"/>
          <w:sz w:val="24"/>
          <w:szCs w:val="24"/>
          <w:highlight w:val="none"/>
        </w:rPr>
        <w:t>月1日</w:t>
      </w:r>
      <w:r>
        <w:rPr>
          <w:color w:val="auto"/>
          <w:sz w:val="24"/>
          <w:szCs w:val="24"/>
          <w:highlight w:val="none"/>
        </w:rPr>
        <w:t>开工建设，</w:t>
      </w:r>
      <w:r>
        <w:rPr>
          <w:rFonts w:hint="eastAsia"/>
          <w:color w:val="auto"/>
          <w:sz w:val="24"/>
          <w:szCs w:val="24"/>
          <w:highlight w:val="none"/>
        </w:rPr>
        <w:t xml:space="preserve"> </w:t>
      </w:r>
      <w:r>
        <w:rPr>
          <w:rFonts w:hint="eastAsia"/>
          <w:sz w:val="24"/>
          <w:szCs w:val="24"/>
        </w:rPr>
        <w:t>2024年4月2</w:t>
      </w:r>
      <w:r>
        <w:rPr>
          <w:rFonts w:hint="eastAsia"/>
          <w:sz w:val="24"/>
          <w:szCs w:val="24"/>
          <w:lang w:val="en-US" w:eastAsia="zh-CN"/>
        </w:rPr>
        <w:t>8</w:t>
      </w:r>
      <w:r>
        <w:rPr>
          <w:rFonts w:hint="eastAsia"/>
          <w:sz w:val="24"/>
          <w:szCs w:val="24"/>
        </w:rPr>
        <w:t>日进行了调试，于2024年5月开始组织竣工环境保护验收。</w:t>
      </w:r>
      <w:r>
        <w:rPr>
          <w:sz w:val="24"/>
          <w:szCs w:val="24"/>
        </w:rPr>
        <w:t>公司202</w:t>
      </w:r>
      <w:r>
        <w:rPr>
          <w:rFonts w:hint="eastAsia"/>
          <w:sz w:val="24"/>
          <w:szCs w:val="24"/>
        </w:rPr>
        <w:t>4</w:t>
      </w:r>
      <w:r>
        <w:rPr>
          <w:sz w:val="24"/>
          <w:szCs w:val="24"/>
        </w:rPr>
        <w:t>年</w:t>
      </w:r>
      <w:r>
        <w:rPr>
          <w:rFonts w:hint="eastAsia"/>
          <w:sz w:val="24"/>
          <w:szCs w:val="24"/>
        </w:rPr>
        <w:t>4</w:t>
      </w:r>
      <w:r>
        <w:rPr>
          <w:sz w:val="24"/>
          <w:szCs w:val="24"/>
        </w:rPr>
        <w:t>月</w:t>
      </w:r>
      <w:r>
        <w:rPr>
          <w:rFonts w:hint="eastAsia"/>
          <w:sz w:val="24"/>
          <w:szCs w:val="24"/>
        </w:rPr>
        <w:t>25日</w:t>
      </w:r>
      <w:r>
        <w:rPr>
          <w:sz w:val="24"/>
          <w:szCs w:val="24"/>
        </w:rPr>
        <w:t>重新申领排污许可证，证书编号91370783</w:t>
      </w:r>
      <w:r>
        <w:rPr>
          <w:rFonts w:hint="eastAsia"/>
          <w:sz w:val="24"/>
          <w:szCs w:val="24"/>
        </w:rPr>
        <w:t>MA3TWP7A8J001V</w:t>
      </w:r>
      <w:r>
        <w:rPr>
          <w:sz w:val="24"/>
          <w:szCs w:val="24"/>
        </w:rPr>
        <w:t>。</w:t>
      </w:r>
    </w:p>
    <w:bookmarkEnd w:id="5"/>
    <w:p>
      <w:pPr>
        <w:widowControl/>
        <w:autoSpaceDE w:val="0"/>
        <w:autoSpaceDN w:val="0"/>
        <w:spacing w:line="360" w:lineRule="auto"/>
        <w:ind w:firstLine="480" w:firstLineChars="200"/>
        <w:rPr>
          <w:sz w:val="24"/>
          <w:szCs w:val="24"/>
        </w:rPr>
      </w:pPr>
      <w:r>
        <w:rPr>
          <w:sz w:val="24"/>
          <w:szCs w:val="24"/>
        </w:rPr>
        <w:t>受企业委托，山东潍科检测服务有限公司承担本项目的竣工环境保护验收监测工作。接受委托后，我公司安排专业技术人员对项目区域进行了现场勘查和资料收集，编制了验收监测方案，并于202</w:t>
      </w:r>
      <w:r>
        <w:rPr>
          <w:rFonts w:hint="eastAsia"/>
          <w:sz w:val="24"/>
          <w:szCs w:val="24"/>
        </w:rPr>
        <w:t>4</w:t>
      </w:r>
      <w:r>
        <w:rPr>
          <w:rFonts w:hint="eastAsia"/>
          <w:sz w:val="24"/>
          <w:szCs w:val="24"/>
          <w:lang w:val="en-US" w:eastAsia="zh-CN"/>
        </w:rPr>
        <w:t>年6月13</w:t>
      </w:r>
      <w:r>
        <w:rPr>
          <w:sz w:val="24"/>
          <w:szCs w:val="24"/>
        </w:rPr>
        <w:t>日</w:t>
      </w:r>
      <w:r>
        <w:rPr>
          <w:rFonts w:hint="eastAsia"/>
          <w:sz w:val="24"/>
          <w:szCs w:val="24"/>
          <w:lang w:eastAsia="zh-CN"/>
        </w:rPr>
        <w:t>、</w:t>
      </w:r>
      <w:r>
        <w:rPr>
          <w:rFonts w:hint="eastAsia"/>
          <w:sz w:val="24"/>
          <w:szCs w:val="24"/>
          <w:lang w:val="en-US" w:eastAsia="zh-CN"/>
        </w:rPr>
        <w:t>6月15日、7月14日-7月15日</w:t>
      </w:r>
      <w:r>
        <w:rPr>
          <w:sz w:val="24"/>
          <w:szCs w:val="24"/>
        </w:rPr>
        <w:t>对项目进行了现场监测及检查，根据监测和检查的结果编制了本验收监测报告。</w:t>
      </w:r>
    </w:p>
    <w:p>
      <w:pPr>
        <w:pStyle w:val="9"/>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pPr>
    </w:p>
    <w:p>
      <w:pPr>
        <w:pStyle w:val="9"/>
        <w:spacing w:line="360" w:lineRule="auto"/>
      </w:pPr>
      <w:bookmarkStart w:id="6" w:name="_Toc17327"/>
      <w:r>
        <w:t>第二章  验收依据</w:t>
      </w:r>
      <w:bookmarkEnd w:id="6"/>
    </w:p>
    <w:p>
      <w:pPr>
        <w:pStyle w:val="10"/>
        <w:spacing w:line="360" w:lineRule="auto"/>
        <w:contextualSpacing/>
      </w:pPr>
      <w:bookmarkStart w:id="7" w:name="_Toc21146"/>
      <w:r>
        <w:t>2.1法律依据</w:t>
      </w:r>
      <w:bookmarkEnd w:id="7"/>
    </w:p>
    <w:p>
      <w:pPr>
        <w:pStyle w:val="23"/>
        <w:spacing w:after="0" w:line="360" w:lineRule="auto"/>
        <w:ind w:firstLine="480" w:firstLineChars="200"/>
        <w:contextualSpacing/>
        <w:rPr>
          <w:sz w:val="24"/>
          <w:szCs w:val="24"/>
        </w:rPr>
      </w:pPr>
      <w:r>
        <w:rPr>
          <w:sz w:val="24"/>
          <w:szCs w:val="24"/>
        </w:rPr>
        <w:t>（1）《中华人民共和国环境保护法》，2015年1月；</w:t>
      </w:r>
    </w:p>
    <w:p>
      <w:pPr>
        <w:pStyle w:val="23"/>
        <w:spacing w:after="0" w:line="360" w:lineRule="auto"/>
        <w:ind w:firstLine="480" w:firstLineChars="200"/>
        <w:contextualSpacing/>
        <w:rPr>
          <w:sz w:val="24"/>
          <w:szCs w:val="24"/>
        </w:rPr>
      </w:pPr>
      <w:r>
        <w:rPr>
          <w:sz w:val="24"/>
          <w:szCs w:val="24"/>
        </w:rPr>
        <w:t>（2）《中华人民共和国固体废物污染环境防治法》，2020年9月；</w:t>
      </w:r>
    </w:p>
    <w:p>
      <w:pPr>
        <w:pStyle w:val="23"/>
        <w:spacing w:after="0" w:line="360" w:lineRule="auto"/>
        <w:ind w:firstLine="480" w:firstLineChars="200"/>
        <w:contextualSpacing/>
        <w:rPr>
          <w:sz w:val="24"/>
          <w:szCs w:val="24"/>
        </w:rPr>
      </w:pPr>
      <w:r>
        <w:rPr>
          <w:sz w:val="24"/>
          <w:szCs w:val="24"/>
        </w:rPr>
        <w:t>（3）《中华人民共和国水污染防治法》，2018年1月；</w:t>
      </w:r>
    </w:p>
    <w:p>
      <w:pPr>
        <w:pStyle w:val="23"/>
        <w:spacing w:after="0" w:line="360" w:lineRule="auto"/>
        <w:ind w:firstLine="480" w:firstLineChars="200"/>
        <w:contextualSpacing/>
        <w:rPr>
          <w:sz w:val="24"/>
          <w:szCs w:val="24"/>
        </w:rPr>
      </w:pPr>
      <w:r>
        <w:rPr>
          <w:sz w:val="24"/>
          <w:szCs w:val="24"/>
        </w:rPr>
        <w:t>（4）《中华人民共和国环境噪声污染防治法》，2022年6月；</w:t>
      </w:r>
    </w:p>
    <w:p>
      <w:pPr>
        <w:pStyle w:val="23"/>
        <w:spacing w:after="0" w:line="360" w:lineRule="auto"/>
        <w:ind w:firstLine="480" w:firstLineChars="200"/>
        <w:contextualSpacing/>
        <w:rPr>
          <w:sz w:val="24"/>
          <w:szCs w:val="24"/>
        </w:rPr>
      </w:pPr>
      <w:r>
        <w:rPr>
          <w:sz w:val="24"/>
          <w:szCs w:val="24"/>
        </w:rPr>
        <w:t>（5）《中华人民共和国大气污染防治法》，2018年10月。</w:t>
      </w:r>
    </w:p>
    <w:p>
      <w:pPr>
        <w:pStyle w:val="10"/>
        <w:spacing w:line="360" w:lineRule="auto"/>
        <w:contextualSpacing/>
      </w:pPr>
      <w:bookmarkStart w:id="8" w:name="_Toc14081"/>
      <w:r>
        <w:t>2.2其他法规、条例</w:t>
      </w:r>
      <w:bookmarkEnd w:id="8"/>
    </w:p>
    <w:p>
      <w:pPr>
        <w:pStyle w:val="23"/>
        <w:spacing w:after="0" w:line="360" w:lineRule="auto"/>
        <w:ind w:firstLine="480" w:firstLineChars="200"/>
        <w:contextualSpacing/>
        <w:rPr>
          <w:sz w:val="24"/>
          <w:szCs w:val="24"/>
        </w:rPr>
      </w:pPr>
      <w:r>
        <w:rPr>
          <w:sz w:val="24"/>
          <w:szCs w:val="24"/>
        </w:rPr>
        <w:t>（1）中华人民共和国环境保护部国环规环评[2017]4号《关于发布&lt;建设项目竣工环境保护验收暂行办法&gt;的公告》，2017年11月；</w:t>
      </w:r>
    </w:p>
    <w:p>
      <w:pPr>
        <w:pStyle w:val="23"/>
        <w:spacing w:after="0" w:line="360" w:lineRule="auto"/>
        <w:ind w:firstLine="480" w:firstLineChars="200"/>
        <w:contextualSpacing/>
        <w:rPr>
          <w:sz w:val="24"/>
          <w:szCs w:val="24"/>
        </w:rPr>
      </w:pPr>
      <w:r>
        <w:rPr>
          <w:sz w:val="24"/>
          <w:szCs w:val="24"/>
        </w:rPr>
        <w:t>（2）</w:t>
      </w:r>
      <w:r>
        <w:rPr>
          <w:color w:val="000000"/>
          <w:sz w:val="24"/>
          <w:szCs w:val="24"/>
          <w:lang w:val="zh-CN"/>
        </w:rPr>
        <w:t>《</w:t>
      </w:r>
      <w:r>
        <w:rPr>
          <w:rFonts w:hint="eastAsia"/>
          <w:color w:val="000000"/>
          <w:sz w:val="24"/>
          <w:szCs w:val="24"/>
          <w:lang w:val="zh-CN"/>
        </w:rPr>
        <w:t>关于印发</w:t>
      </w:r>
      <w:r>
        <w:rPr>
          <w:color w:val="000000"/>
          <w:sz w:val="24"/>
          <w:szCs w:val="24"/>
          <w:lang w:val="zh-CN"/>
        </w:rPr>
        <w:t>&lt;</w:t>
      </w:r>
      <w:r>
        <w:rPr>
          <w:rFonts w:hint="eastAsia"/>
          <w:color w:val="000000"/>
          <w:sz w:val="24"/>
          <w:szCs w:val="24"/>
          <w:lang w:val="zh-CN"/>
        </w:rPr>
        <w:t>污染影响类建设项目重大变动清单（试行）</w:t>
      </w:r>
      <w:r>
        <w:rPr>
          <w:color w:val="000000"/>
          <w:sz w:val="24"/>
          <w:szCs w:val="24"/>
          <w:lang w:val="zh-CN"/>
        </w:rPr>
        <w:t>&gt;</w:t>
      </w:r>
      <w:r>
        <w:rPr>
          <w:rFonts w:hint="eastAsia"/>
          <w:color w:val="000000"/>
          <w:sz w:val="24"/>
          <w:szCs w:val="24"/>
          <w:lang w:val="zh-CN"/>
        </w:rPr>
        <w:t>的通知</w:t>
      </w:r>
      <w:r>
        <w:rPr>
          <w:color w:val="000000"/>
          <w:sz w:val="24"/>
          <w:szCs w:val="24"/>
          <w:lang w:val="zh-CN"/>
        </w:rPr>
        <w:t>》（环办</w:t>
      </w:r>
      <w:r>
        <w:rPr>
          <w:rFonts w:hint="eastAsia"/>
          <w:color w:val="000000"/>
          <w:sz w:val="24"/>
          <w:szCs w:val="24"/>
          <w:lang w:val="zh-CN"/>
        </w:rPr>
        <w:t>环评函</w:t>
      </w:r>
      <w:r>
        <w:rPr>
          <w:color w:val="000000"/>
          <w:sz w:val="24"/>
          <w:szCs w:val="24"/>
          <w:lang w:val="zh-CN"/>
        </w:rPr>
        <w:t>﹝20</w:t>
      </w:r>
      <w:r>
        <w:rPr>
          <w:rFonts w:hint="eastAsia"/>
          <w:color w:val="000000"/>
          <w:sz w:val="24"/>
          <w:szCs w:val="24"/>
        </w:rPr>
        <w:t>20</w:t>
      </w:r>
      <w:r>
        <w:rPr>
          <w:color w:val="000000"/>
          <w:sz w:val="24"/>
          <w:szCs w:val="24"/>
          <w:lang w:val="zh-CN"/>
        </w:rPr>
        <w:t>﹞</w:t>
      </w:r>
      <w:r>
        <w:rPr>
          <w:rFonts w:hint="eastAsia"/>
          <w:color w:val="000000"/>
          <w:sz w:val="24"/>
          <w:szCs w:val="24"/>
        </w:rPr>
        <w:t>688</w:t>
      </w:r>
      <w:r>
        <w:rPr>
          <w:color w:val="000000"/>
          <w:sz w:val="24"/>
          <w:szCs w:val="24"/>
          <w:lang w:val="zh-CN"/>
        </w:rPr>
        <w:t>号）</w:t>
      </w:r>
      <w:r>
        <w:rPr>
          <w:sz w:val="24"/>
          <w:szCs w:val="24"/>
        </w:rPr>
        <w:t>；</w:t>
      </w:r>
    </w:p>
    <w:p>
      <w:pPr>
        <w:pStyle w:val="23"/>
        <w:spacing w:after="0" w:line="360" w:lineRule="auto"/>
        <w:ind w:firstLine="480" w:firstLineChars="200"/>
        <w:contextualSpacing/>
        <w:rPr>
          <w:sz w:val="24"/>
          <w:szCs w:val="24"/>
        </w:rPr>
      </w:pPr>
      <w:r>
        <w:rPr>
          <w:rFonts w:hint="eastAsia"/>
          <w:sz w:val="24"/>
          <w:szCs w:val="24"/>
        </w:rPr>
        <w:t>（</w:t>
      </w:r>
      <w:r>
        <w:rPr>
          <w:sz w:val="24"/>
          <w:szCs w:val="24"/>
        </w:rPr>
        <w:t>3</w:t>
      </w:r>
      <w:r>
        <w:rPr>
          <w:rFonts w:hint="eastAsia"/>
          <w:sz w:val="24"/>
          <w:szCs w:val="24"/>
        </w:rPr>
        <w:t>）</w:t>
      </w:r>
      <w:r>
        <w:rPr>
          <w:color w:val="000000"/>
          <w:sz w:val="24"/>
          <w:szCs w:val="24"/>
        </w:rPr>
        <w:t>《建设项目竣工环境保护验收技术指南 污染影响类》（生态环保部公告 2018年9号，2018年5月15日实施）</w:t>
      </w:r>
      <w:r>
        <w:rPr>
          <w:sz w:val="24"/>
          <w:szCs w:val="24"/>
        </w:rPr>
        <w:t>；</w:t>
      </w:r>
    </w:p>
    <w:p>
      <w:pPr>
        <w:pStyle w:val="23"/>
        <w:spacing w:after="0" w:line="360" w:lineRule="auto"/>
        <w:ind w:firstLine="480" w:firstLineChars="200"/>
        <w:contextualSpacing/>
        <w:rPr>
          <w:sz w:val="24"/>
          <w:szCs w:val="24"/>
        </w:rPr>
      </w:pPr>
      <w:r>
        <w:rPr>
          <w:sz w:val="24"/>
          <w:szCs w:val="24"/>
        </w:rPr>
        <w:t>（5）</w:t>
      </w:r>
      <w:r>
        <w:rPr>
          <w:color w:val="000000"/>
          <w:sz w:val="24"/>
          <w:szCs w:val="24"/>
          <w:lang w:val="zh-CN"/>
        </w:rPr>
        <w:t>《环境保护部关于进一步加强环境影响评价管理防范环境风险的通知》（环发﹝20</w:t>
      </w:r>
      <w:r>
        <w:rPr>
          <w:rFonts w:hint="eastAsia"/>
          <w:color w:val="000000"/>
          <w:sz w:val="24"/>
          <w:szCs w:val="24"/>
        </w:rPr>
        <w:t>12</w:t>
      </w:r>
      <w:r>
        <w:rPr>
          <w:color w:val="000000"/>
          <w:sz w:val="24"/>
          <w:szCs w:val="24"/>
          <w:lang w:val="zh-CN"/>
        </w:rPr>
        <w:t>﹞77号）</w:t>
      </w:r>
      <w:r>
        <w:rPr>
          <w:sz w:val="24"/>
          <w:szCs w:val="24"/>
        </w:rPr>
        <w:t>；</w:t>
      </w:r>
    </w:p>
    <w:p>
      <w:pPr>
        <w:pStyle w:val="23"/>
        <w:spacing w:after="0" w:line="360" w:lineRule="auto"/>
        <w:ind w:firstLine="480" w:firstLineChars="200"/>
        <w:contextualSpacing/>
        <w:rPr>
          <w:sz w:val="24"/>
          <w:szCs w:val="24"/>
        </w:rPr>
      </w:pPr>
      <w:r>
        <w:rPr>
          <w:sz w:val="24"/>
          <w:szCs w:val="24"/>
        </w:rPr>
        <w:t>（6）</w:t>
      </w:r>
      <w:r>
        <w:rPr>
          <w:color w:val="000000"/>
          <w:sz w:val="24"/>
          <w:szCs w:val="24"/>
          <w:lang w:val="zh-CN"/>
        </w:rPr>
        <w:t>《关于切实加强风险防范严格环境影响评价管理的通知》（环发﹝20</w:t>
      </w:r>
      <w:r>
        <w:rPr>
          <w:rFonts w:hint="eastAsia"/>
          <w:color w:val="000000"/>
          <w:sz w:val="24"/>
          <w:szCs w:val="24"/>
        </w:rPr>
        <w:t>12</w:t>
      </w:r>
      <w:r>
        <w:rPr>
          <w:color w:val="000000"/>
          <w:sz w:val="24"/>
          <w:szCs w:val="24"/>
          <w:lang w:val="zh-CN"/>
        </w:rPr>
        <w:t>﹞98号）</w:t>
      </w:r>
      <w:r>
        <w:rPr>
          <w:sz w:val="24"/>
          <w:szCs w:val="24"/>
        </w:rPr>
        <w:t>；</w:t>
      </w:r>
    </w:p>
    <w:p>
      <w:pPr>
        <w:pStyle w:val="23"/>
        <w:spacing w:after="0" w:line="360" w:lineRule="auto"/>
        <w:ind w:firstLine="480" w:firstLineChars="200"/>
        <w:contextualSpacing/>
        <w:rPr>
          <w:color w:val="000000"/>
          <w:sz w:val="24"/>
          <w:szCs w:val="24"/>
          <w:lang w:val="zh-CN"/>
        </w:rPr>
      </w:pPr>
      <w:r>
        <w:rPr>
          <w:sz w:val="24"/>
          <w:szCs w:val="24"/>
        </w:rPr>
        <w:t>（7）</w:t>
      </w:r>
      <w:r>
        <w:rPr>
          <w:color w:val="000000"/>
          <w:sz w:val="24"/>
          <w:szCs w:val="24"/>
          <w:lang w:val="zh-CN"/>
        </w:rPr>
        <w:t>《山东省环境保护条例》</w:t>
      </w:r>
      <w:r>
        <w:rPr>
          <w:rFonts w:hint="eastAsia"/>
          <w:color w:val="000000"/>
          <w:sz w:val="24"/>
          <w:szCs w:val="24"/>
          <w:lang w:val="zh-CN"/>
        </w:rPr>
        <w:t>（</w:t>
      </w:r>
      <w:r>
        <w:rPr>
          <w:color w:val="000000"/>
          <w:sz w:val="24"/>
          <w:szCs w:val="24"/>
          <w:lang w:val="zh-CN"/>
        </w:rPr>
        <w:t>2019.1.1实施</w:t>
      </w:r>
      <w:r>
        <w:rPr>
          <w:rFonts w:hint="eastAsia"/>
          <w:color w:val="000000"/>
          <w:sz w:val="24"/>
          <w:szCs w:val="24"/>
          <w:lang w:val="zh-CN"/>
        </w:rPr>
        <w:t>）；</w:t>
      </w:r>
    </w:p>
    <w:p>
      <w:pPr>
        <w:pStyle w:val="23"/>
        <w:spacing w:after="0" w:line="360" w:lineRule="auto"/>
        <w:ind w:firstLine="480" w:firstLineChars="200"/>
        <w:contextualSpacing/>
        <w:rPr>
          <w:color w:val="000000"/>
          <w:sz w:val="24"/>
          <w:szCs w:val="24"/>
          <w:lang w:val="zh-CN"/>
        </w:rPr>
      </w:pPr>
      <w:r>
        <w:rPr>
          <w:rFonts w:hint="eastAsia"/>
          <w:color w:val="000000"/>
          <w:sz w:val="24"/>
          <w:szCs w:val="24"/>
          <w:lang w:val="zh-CN"/>
        </w:rPr>
        <w:t>（</w:t>
      </w:r>
      <w:r>
        <w:rPr>
          <w:rFonts w:hint="eastAsia"/>
          <w:color w:val="000000"/>
          <w:sz w:val="24"/>
          <w:szCs w:val="24"/>
        </w:rPr>
        <w:t>8</w:t>
      </w:r>
      <w:r>
        <w:rPr>
          <w:rFonts w:hint="eastAsia"/>
          <w:color w:val="000000"/>
          <w:sz w:val="24"/>
          <w:szCs w:val="24"/>
          <w:lang w:val="zh-CN"/>
        </w:rPr>
        <w:t>）</w:t>
      </w:r>
      <w:r>
        <w:rPr>
          <w:color w:val="000000"/>
          <w:sz w:val="24"/>
          <w:szCs w:val="24"/>
          <w:lang w:val="zh-CN"/>
        </w:rPr>
        <w:t>《山东省人民政府办公厅关于加强环境影响评价和建设项目环境保护设施“三同时”管理工作的通知》（鲁政办发﹝20</w:t>
      </w:r>
      <w:r>
        <w:rPr>
          <w:rFonts w:hint="eastAsia"/>
          <w:color w:val="000000"/>
          <w:sz w:val="24"/>
          <w:szCs w:val="24"/>
        </w:rPr>
        <w:t>06</w:t>
      </w:r>
      <w:r>
        <w:rPr>
          <w:color w:val="000000"/>
          <w:sz w:val="24"/>
          <w:szCs w:val="24"/>
          <w:lang w:val="zh-CN"/>
        </w:rPr>
        <w:t>﹞60号）</w:t>
      </w:r>
      <w:r>
        <w:rPr>
          <w:rFonts w:hint="eastAsia"/>
          <w:color w:val="000000"/>
          <w:sz w:val="24"/>
          <w:szCs w:val="24"/>
          <w:lang w:val="zh-CN"/>
        </w:rPr>
        <w:t>；</w:t>
      </w:r>
    </w:p>
    <w:p>
      <w:pPr>
        <w:pStyle w:val="23"/>
        <w:spacing w:after="0" w:line="360" w:lineRule="auto"/>
        <w:ind w:firstLine="480" w:firstLineChars="200"/>
        <w:contextualSpacing/>
        <w:rPr>
          <w:color w:val="000000"/>
          <w:sz w:val="24"/>
          <w:szCs w:val="24"/>
          <w:lang w:val="zh-CN"/>
        </w:rPr>
      </w:pPr>
      <w:r>
        <w:rPr>
          <w:rFonts w:hint="eastAsia"/>
          <w:color w:val="000000"/>
          <w:sz w:val="24"/>
          <w:szCs w:val="24"/>
          <w:lang w:val="zh-CN"/>
        </w:rPr>
        <w:t>（</w:t>
      </w:r>
      <w:r>
        <w:rPr>
          <w:rFonts w:hint="eastAsia"/>
          <w:color w:val="000000"/>
          <w:sz w:val="24"/>
          <w:szCs w:val="24"/>
        </w:rPr>
        <w:t>9</w:t>
      </w:r>
      <w:r>
        <w:rPr>
          <w:rFonts w:hint="eastAsia"/>
          <w:color w:val="000000"/>
          <w:sz w:val="24"/>
          <w:szCs w:val="24"/>
          <w:lang w:val="zh-CN"/>
        </w:rPr>
        <w:t>）</w:t>
      </w:r>
      <w:r>
        <w:rPr>
          <w:color w:val="000000"/>
          <w:sz w:val="24"/>
          <w:szCs w:val="24"/>
          <w:lang w:val="zh-CN"/>
        </w:rPr>
        <w:t>山东省环境保护厅关于加强建设项目竣工环境保护验收等有关环境监管问题的通知》（鲁环函﹝20</w:t>
      </w:r>
      <w:r>
        <w:rPr>
          <w:rFonts w:hint="eastAsia"/>
          <w:color w:val="000000"/>
          <w:sz w:val="24"/>
          <w:szCs w:val="24"/>
        </w:rPr>
        <w:t>12</w:t>
      </w:r>
      <w:r>
        <w:rPr>
          <w:color w:val="000000"/>
          <w:sz w:val="24"/>
          <w:szCs w:val="24"/>
          <w:lang w:val="zh-CN"/>
        </w:rPr>
        <w:t>﹞493号）</w:t>
      </w:r>
      <w:r>
        <w:rPr>
          <w:rFonts w:hint="eastAsia"/>
          <w:color w:val="000000"/>
          <w:sz w:val="24"/>
          <w:szCs w:val="24"/>
          <w:lang w:val="zh-CN"/>
        </w:rPr>
        <w:t>；</w:t>
      </w:r>
    </w:p>
    <w:p>
      <w:pPr>
        <w:pStyle w:val="23"/>
        <w:spacing w:after="0" w:line="360" w:lineRule="auto"/>
        <w:ind w:firstLine="480" w:firstLineChars="200"/>
        <w:contextualSpacing/>
        <w:rPr>
          <w:color w:val="000000"/>
          <w:sz w:val="24"/>
          <w:szCs w:val="24"/>
          <w:lang w:val="zh-CN"/>
        </w:rPr>
      </w:pPr>
      <w:r>
        <w:rPr>
          <w:rFonts w:hint="eastAsia"/>
          <w:color w:val="000000"/>
          <w:sz w:val="24"/>
          <w:szCs w:val="24"/>
          <w:lang w:val="zh-CN"/>
        </w:rPr>
        <w:t>（</w:t>
      </w:r>
      <w:r>
        <w:rPr>
          <w:rFonts w:hint="eastAsia"/>
          <w:color w:val="000000"/>
          <w:sz w:val="24"/>
          <w:szCs w:val="24"/>
        </w:rPr>
        <w:t>10</w:t>
      </w:r>
      <w:r>
        <w:rPr>
          <w:rFonts w:hint="eastAsia"/>
          <w:color w:val="000000"/>
          <w:sz w:val="24"/>
          <w:szCs w:val="24"/>
          <w:lang w:val="zh-CN"/>
        </w:rPr>
        <w:t>）</w:t>
      </w:r>
      <w:r>
        <w:rPr>
          <w:color w:val="000000"/>
          <w:sz w:val="24"/>
          <w:szCs w:val="24"/>
          <w:lang w:val="zh-CN"/>
        </w:rPr>
        <w:t>《山东省环境保护厅关于进一步加强环境安全应急管理工作的通知》（鲁环发﹝20</w:t>
      </w:r>
      <w:r>
        <w:rPr>
          <w:rFonts w:hint="eastAsia"/>
          <w:color w:val="000000"/>
          <w:sz w:val="24"/>
          <w:szCs w:val="24"/>
        </w:rPr>
        <w:t>13</w:t>
      </w:r>
      <w:r>
        <w:rPr>
          <w:color w:val="000000"/>
          <w:sz w:val="24"/>
          <w:szCs w:val="24"/>
          <w:lang w:val="zh-CN"/>
        </w:rPr>
        <w:t>﹞4号）</w:t>
      </w:r>
      <w:r>
        <w:rPr>
          <w:rFonts w:hint="eastAsia"/>
          <w:color w:val="000000"/>
          <w:sz w:val="24"/>
          <w:szCs w:val="24"/>
          <w:lang w:val="zh-CN"/>
        </w:rPr>
        <w:t>；</w:t>
      </w:r>
    </w:p>
    <w:p>
      <w:pPr>
        <w:pStyle w:val="23"/>
        <w:spacing w:after="0" w:line="360" w:lineRule="auto"/>
        <w:ind w:firstLine="480" w:firstLineChars="200"/>
        <w:contextualSpacing/>
        <w:rPr>
          <w:color w:val="000000"/>
          <w:sz w:val="24"/>
          <w:szCs w:val="24"/>
          <w:lang w:val="zh-CN"/>
        </w:rPr>
      </w:pPr>
      <w:r>
        <w:rPr>
          <w:rFonts w:hint="eastAsia"/>
          <w:color w:val="000000"/>
          <w:sz w:val="24"/>
          <w:szCs w:val="24"/>
          <w:lang w:val="zh-CN"/>
        </w:rPr>
        <w:t>（</w:t>
      </w:r>
      <w:r>
        <w:rPr>
          <w:rFonts w:hint="eastAsia"/>
          <w:color w:val="000000"/>
          <w:sz w:val="24"/>
          <w:szCs w:val="24"/>
        </w:rPr>
        <w:t>11</w:t>
      </w:r>
      <w:r>
        <w:rPr>
          <w:rFonts w:hint="eastAsia"/>
          <w:color w:val="000000"/>
          <w:sz w:val="24"/>
          <w:szCs w:val="24"/>
          <w:lang w:val="zh-CN"/>
        </w:rPr>
        <w:t>）</w:t>
      </w:r>
      <w:r>
        <w:rPr>
          <w:color w:val="000000"/>
          <w:sz w:val="24"/>
          <w:szCs w:val="24"/>
          <w:lang w:val="zh-CN"/>
        </w:rPr>
        <w:t>《山东省环境保护厅关于加强建设项目特征污染物监管和绿色生态屏障建设》（鲁环评函﹝20</w:t>
      </w:r>
      <w:r>
        <w:rPr>
          <w:rFonts w:hint="eastAsia"/>
          <w:color w:val="000000"/>
          <w:sz w:val="24"/>
          <w:szCs w:val="24"/>
        </w:rPr>
        <w:t>13</w:t>
      </w:r>
      <w:r>
        <w:rPr>
          <w:color w:val="000000"/>
          <w:sz w:val="24"/>
          <w:szCs w:val="24"/>
          <w:lang w:val="zh-CN"/>
        </w:rPr>
        <w:t>﹞138号）</w:t>
      </w:r>
      <w:r>
        <w:rPr>
          <w:rFonts w:hint="eastAsia"/>
          <w:color w:val="000000"/>
          <w:sz w:val="24"/>
          <w:szCs w:val="24"/>
          <w:lang w:val="zh-CN"/>
        </w:rPr>
        <w:t>；</w:t>
      </w:r>
    </w:p>
    <w:p>
      <w:pPr>
        <w:pStyle w:val="23"/>
        <w:spacing w:after="0" w:line="360" w:lineRule="auto"/>
        <w:ind w:firstLine="480" w:firstLineChars="200"/>
        <w:contextualSpacing/>
        <w:rPr>
          <w:color w:val="000000"/>
          <w:sz w:val="24"/>
          <w:szCs w:val="24"/>
          <w:lang w:val="zh-CN"/>
        </w:rPr>
      </w:pPr>
      <w:r>
        <w:rPr>
          <w:rFonts w:hint="eastAsia"/>
          <w:color w:val="000000"/>
          <w:sz w:val="24"/>
          <w:szCs w:val="24"/>
          <w:lang w:val="zh-CN"/>
        </w:rPr>
        <w:t>（</w:t>
      </w:r>
      <w:r>
        <w:rPr>
          <w:rFonts w:hint="eastAsia"/>
          <w:color w:val="000000"/>
          <w:sz w:val="24"/>
          <w:szCs w:val="24"/>
        </w:rPr>
        <w:t>12</w:t>
      </w:r>
      <w:r>
        <w:rPr>
          <w:rFonts w:hint="eastAsia"/>
          <w:color w:val="000000"/>
          <w:sz w:val="24"/>
          <w:szCs w:val="24"/>
          <w:lang w:val="zh-CN"/>
        </w:rPr>
        <w:t>）</w:t>
      </w:r>
      <w:r>
        <w:rPr>
          <w:color w:val="000000"/>
          <w:sz w:val="24"/>
          <w:szCs w:val="24"/>
          <w:lang w:val="zh-CN"/>
        </w:rPr>
        <w:t>《山东省污水排放口环境信息公开技术规范》（DB37/T2643-2014）</w:t>
      </w:r>
      <w:r>
        <w:rPr>
          <w:rFonts w:hint="eastAsia"/>
          <w:color w:val="000000"/>
          <w:sz w:val="24"/>
          <w:szCs w:val="24"/>
          <w:lang w:val="zh-CN"/>
        </w:rPr>
        <w:t>；</w:t>
      </w:r>
    </w:p>
    <w:p>
      <w:pPr>
        <w:pStyle w:val="23"/>
        <w:spacing w:after="0" w:line="360" w:lineRule="auto"/>
        <w:ind w:firstLine="480" w:firstLineChars="200"/>
        <w:contextualSpacing/>
        <w:rPr>
          <w:color w:val="000000"/>
          <w:sz w:val="24"/>
          <w:szCs w:val="24"/>
          <w:lang w:val="zh-CN"/>
        </w:rPr>
      </w:pPr>
      <w:r>
        <w:rPr>
          <w:rFonts w:hint="eastAsia"/>
          <w:color w:val="000000"/>
          <w:sz w:val="24"/>
          <w:szCs w:val="24"/>
          <w:lang w:val="zh-CN"/>
        </w:rPr>
        <w:t>（</w:t>
      </w:r>
      <w:r>
        <w:rPr>
          <w:rFonts w:hint="eastAsia"/>
          <w:color w:val="000000"/>
          <w:sz w:val="24"/>
          <w:szCs w:val="24"/>
        </w:rPr>
        <w:t>13</w:t>
      </w:r>
      <w:r>
        <w:rPr>
          <w:rFonts w:hint="eastAsia"/>
          <w:color w:val="000000"/>
          <w:sz w:val="24"/>
          <w:szCs w:val="24"/>
          <w:lang w:val="zh-CN"/>
        </w:rPr>
        <w:t>）</w:t>
      </w:r>
      <w:r>
        <w:rPr>
          <w:color w:val="000000"/>
          <w:sz w:val="24"/>
          <w:szCs w:val="24"/>
          <w:lang w:val="zh-CN"/>
        </w:rPr>
        <w:t>《</w:t>
      </w:r>
      <w:r>
        <w:rPr>
          <w:rFonts w:hint="eastAsia"/>
          <w:color w:val="000000"/>
          <w:sz w:val="24"/>
          <w:szCs w:val="24"/>
          <w:lang w:val="zh-CN"/>
        </w:rPr>
        <w:t>固定污染源废气监测点位设置技术规范</w:t>
      </w:r>
      <w:r>
        <w:rPr>
          <w:color w:val="000000"/>
          <w:sz w:val="24"/>
          <w:szCs w:val="24"/>
          <w:lang w:val="zh-CN"/>
        </w:rPr>
        <w:t>》（DB37/T</w:t>
      </w:r>
      <w:r>
        <w:rPr>
          <w:rFonts w:hint="eastAsia"/>
          <w:color w:val="000000"/>
          <w:sz w:val="24"/>
          <w:szCs w:val="24"/>
        </w:rPr>
        <w:t>3535</w:t>
      </w:r>
      <w:r>
        <w:rPr>
          <w:color w:val="000000"/>
          <w:sz w:val="24"/>
          <w:szCs w:val="24"/>
          <w:lang w:val="zh-CN"/>
        </w:rPr>
        <w:t>-20</w:t>
      </w:r>
      <w:r>
        <w:rPr>
          <w:rFonts w:hint="eastAsia"/>
          <w:color w:val="000000"/>
          <w:sz w:val="24"/>
          <w:szCs w:val="24"/>
        </w:rPr>
        <w:t>19</w:t>
      </w:r>
      <w:r>
        <w:rPr>
          <w:color w:val="000000"/>
          <w:sz w:val="24"/>
          <w:szCs w:val="24"/>
          <w:lang w:val="zh-CN"/>
        </w:rPr>
        <w:t>）</w:t>
      </w:r>
      <w:r>
        <w:rPr>
          <w:rFonts w:hint="eastAsia"/>
          <w:color w:val="000000"/>
          <w:sz w:val="24"/>
          <w:szCs w:val="24"/>
          <w:lang w:val="zh-CN"/>
        </w:rPr>
        <w:t>；</w:t>
      </w:r>
    </w:p>
    <w:p>
      <w:pPr>
        <w:pStyle w:val="23"/>
        <w:spacing w:after="0" w:line="360" w:lineRule="auto"/>
        <w:ind w:firstLine="480" w:firstLineChars="200"/>
        <w:contextualSpacing/>
        <w:rPr>
          <w:color w:val="000000"/>
          <w:sz w:val="24"/>
          <w:szCs w:val="24"/>
          <w:lang w:val="zh-CN"/>
        </w:rPr>
      </w:pPr>
      <w:r>
        <w:rPr>
          <w:rFonts w:hint="eastAsia"/>
          <w:color w:val="000000"/>
          <w:sz w:val="24"/>
          <w:szCs w:val="24"/>
          <w:lang w:val="zh-CN"/>
        </w:rPr>
        <w:t>（</w:t>
      </w:r>
      <w:r>
        <w:rPr>
          <w:rFonts w:hint="eastAsia"/>
          <w:color w:val="000000"/>
          <w:sz w:val="24"/>
          <w:szCs w:val="24"/>
        </w:rPr>
        <w:t>14</w:t>
      </w:r>
      <w:r>
        <w:rPr>
          <w:rFonts w:hint="eastAsia"/>
          <w:color w:val="000000"/>
          <w:sz w:val="24"/>
          <w:szCs w:val="24"/>
          <w:lang w:val="zh-CN"/>
        </w:rPr>
        <w:t>）</w:t>
      </w:r>
      <w:r>
        <w:rPr>
          <w:color w:val="000000"/>
          <w:sz w:val="24"/>
          <w:szCs w:val="24"/>
          <w:lang w:val="zh-CN"/>
        </w:rPr>
        <w:t>《关于进一步加强建设项目固体废物环境管理的通知》（鲁环办函﹝20</w:t>
      </w:r>
      <w:r>
        <w:rPr>
          <w:rFonts w:hint="eastAsia"/>
          <w:color w:val="000000"/>
          <w:sz w:val="24"/>
          <w:szCs w:val="24"/>
        </w:rPr>
        <w:t>16</w:t>
      </w:r>
      <w:r>
        <w:rPr>
          <w:color w:val="000000"/>
          <w:sz w:val="24"/>
          <w:szCs w:val="24"/>
          <w:lang w:val="zh-CN"/>
        </w:rPr>
        <w:t>﹞141号）</w:t>
      </w:r>
      <w:r>
        <w:rPr>
          <w:rFonts w:hint="eastAsia"/>
          <w:color w:val="000000"/>
          <w:sz w:val="24"/>
          <w:szCs w:val="24"/>
          <w:lang w:val="zh-CN"/>
        </w:rPr>
        <w:t>；</w:t>
      </w:r>
    </w:p>
    <w:p>
      <w:pPr>
        <w:pStyle w:val="23"/>
        <w:spacing w:after="0" w:line="360" w:lineRule="auto"/>
        <w:ind w:firstLine="480" w:firstLineChars="200"/>
        <w:contextualSpacing/>
        <w:rPr>
          <w:color w:val="000000"/>
          <w:sz w:val="24"/>
          <w:szCs w:val="24"/>
          <w:lang w:val="zh-CN"/>
        </w:rPr>
      </w:pPr>
      <w:r>
        <w:rPr>
          <w:rFonts w:hint="eastAsia"/>
          <w:color w:val="000000"/>
          <w:sz w:val="24"/>
          <w:szCs w:val="24"/>
          <w:lang w:val="zh-CN"/>
        </w:rPr>
        <w:t>（</w:t>
      </w:r>
      <w:r>
        <w:rPr>
          <w:rFonts w:hint="eastAsia"/>
          <w:color w:val="000000"/>
          <w:sz w:val="24"/>
          <w:szCs w:val="24"/>
        </w:rPr>
        <w:t>15</w:t>
      </w:r>
      <w:r>
        <w:rPr>
          <w:rFonts w:hint="eastAsia"/>
          <w:color w:val="000000"/>
          <w:sz w:val="24"/>
          <w:szCs w:val="24"/>
          <w:lang w:val="zh-CN"/>
        </w:rPr>
        <w:t>）</w:t>
      </w:r>
      <w:r>
        <w:rPr>
          <w:rFonts w:hint="eastAsia"/>
          <w:color w:val="000000"/>
          <w:sz w:val="24"/>
          <w:szCs w:val="24"/>
        </w:rPr>
        <w:t>《山东省固体废物污染环境防治条例》。</w:t>
      </w:r>
    </w:p>
    <w:p>
      <w:pPr>
        <w:pStyle w:val="10"/>
        <w:spacing w:line="360" w:lineRule="auto"/>
        <w:contextualSpacing/>
        <w:jc w:val="both"/>
      </w:pPr>
      <w:bookmarkStart w:id="9" w:name="_Toc7557"/>
      <w:r>
        <w:t>2.3技术文件依据</w:t>
      </w:r>
      <w:bookmarkEnd w:id="9"/>
    </w:p>
    <w:p>
      <w:pPr>
        <w:pStyle w:val="23"/>
        <w:spacing w:after="0" w:line="360" w:lineRule="auto"/>
        <w:ind w:firstLine="480" w:firstLineChars="200"/>
        <w:contextualSpacing/>
        <w:rPr>
          <w:sz w:val="24"/>
          <w:szCs w:val="24"/>
        </w:rPr>
      </w:pPr>
      <w:r>
        <w:rPr>
          <w:sz w:val="24"/>
          <w:szCs w:val="24"/>
        </w:rPr>
        <w:t>（1）《</w:t>
      </w:r>
      <w:r>
        <w:rPr>
          <w:rFonts w:hint="eastAsia" w:ascii="宋体" w:hAnsi="宋体" w:cs="宋体"/>
          <w:color w:val="000000"/>
          <w:kern w:val="0"/>
          <w:sz w:val="24"/>
          <w:szCs w:val="24"/>
          <w:lang w:bidi="ar"/>
        </w:rPr>
        <w:t>山东大地盐化集团有限公司</w:t>
      </w:r>
      <w:r>
        <w:rPr>
          <w:rFonts w:hint="eastAsia"/>
          <w:sz w:val="24"/>
          <w:szCs w:val="24"/>
        </w:rPr>
        <w:t>年产10万吨氯化石蜡项目</w:t>
      </w:r>
      <w:r>
        <w:rPr>
          <w:sz w:val="24"/>
          <w:szCs w:val="24"/>
        </w:rPr>
        <w:t>环境影响报告书》，202</w:t>
      </w:r>
      <w:r>
        <w:rPr>
          <w:rFonts w:hint="eastAsia"/>
          <w:sz w:val="24"/>
          <w:szCs w:val="24"/>
        </w:rPr>
        <w:t>3</w:t>
      </w:r>
      <w:r>
        <w:rPr>
          <w:sz w:val="24"/>
          <w:szCs w:val="24"/>
        </w:rPr>
        <w:t>年</w:t>
      </w:r>
      <w:r>
        <w:rPr>
          <w:rFonts w:hint="eastAsia"/>
          <w:sz w:val="24"/>
          <w:szCs w:val="24"/>
        </w:rPr>
        <w:t>7</w:t>
      </w:r>
      <w:r>
        <w:rPr>
          <w:sz w:val="24"/>
          <w:szCs w:val="24"/>
        </w:rPr>
        <w:t>月；</w:t>
      </w:r>
    </w:p>
    <w:p>
      <w:pPr>
        <w:pStyle w:val="23"/>
        <w:spacing w:after="0" w:line="360" w:lineRule="auto"/>
        <w:ind w:firstLine="480" w:firstLineChars="200"/>
        <w:contextualSpacing/>
        <w:rPr>
          <w:sz w:val="24"/>
          <w:szCs w:val="24"/>
        </w:rPr>
      </w:pPr>
      <w:r>
        <w:rPr>
          <w:sz w:val="24"/>
          <w:szCs w:val="24"/>
        </w:rPr>
        <w:t>（2）潍坊市生态环境局</w:t>
      </w:r>
      <w:r>
        <w:rPr>
          <w:rFonts w:hint="eastAsia"/>
          <w:sz w:val="24"/>
          <w:szCs w:val="24"/>
        </w:rPr>
        <w:t>寿光分局</w:t>
      </w:r>
      <w:r>
        <w:rPr>
          <w:sz w:val="24"/>
          <w:szCs w:val="24"/>
        </w:rPr>
        <w:t>《关于</w:t>
      </w:r>
      <w:r>
        <w:rPr>
          <w:rFonts w:hint="eastAsia" w:ascii="宋体" w:hAnsi="宋体" w:cs="宋体"/>
          <w:color w:val="000000"/>
          <w:kern w:val="0"/>
          <w:sz w:val="24"/>
          <w:szCs w:val="24"/>
          <w:lang w:bidi="ar"/>
        </w:rPr>
        <w:t>山东大地盐化集团有限公司</w:t>
      </w:r>
      <w:r>
        <w:rPr>
          <w:rFonts w:hint="eastAsia"/>
          <w:sz w:val="24"/>
          <w:szCs w:val="24"/>
        </w:rPr>
        <w:t>年产10万吨氯化石蜡项目</w:t>
      </w:r>
      <w:r>
        <w:rPr>
          <w:sz w:val="24"/>
          <w:szCs w:val="24"/>
        </w:rPr>
        <w:t>环境影响报告书的批复》，202</w:t>
      </w:r>
      <w:r>
        <w:rPr>
          <w:rFonts w:hint="eastAsia"/>
          <w:sz w:val="24"/>
          <w:szCs w:val="24"/>
        </w:rPr>
        <w:t>3</w:t>
      </w:r>
      <w:r>
        <w:rPr>
          <w:sz w:val="24"/>
          <w:szCs w:val="24"/>
        </w:rPr>
        <w:t>年</w:t>
      </w:r>
      <w:r>
        <w:rPr>
          <w:rFonts w:hint="eastAsia"/>
          <w:sz w:val="24"/>
          <w:szCs w:val="24"/>
        </w:rPr>
        <w:t>8</w:t>
      </w:r>
      <w:r>
        <w:rPr>
          <w:sz w:val="24"/>
          <w:szCs w:val="24"/>
        </w:rPr>
        <w:t>月</w:t>
      </w:r>
      <w:r>
        <w:rPr>
          <w:rFonts w:hint="eastAsia"/>
          <w:sz w:val="24"/>
          <w:szCs w:val="24"/>
        </w:rPr>
        <w:t>9</w:t>
      </w:r>
      <w:r>
        <w:rPr>
          <w:sz w:val="24"/>
          <w:szCs w:val="24"/>
        </w:rPr>
        <w:t>日</w:t>
      </w:r>
      <w:r>
        <w:rPr>
          <w:rFonts w:hint="eastAsia"/>
          <w:sz w:val="24"/>
          <w:szCs w:val="24"/>
        </w:rPr>
        <w:t>。</w:t>
      </w:r>
    </w:p>
    <w:p>
      <w:pPr>
        <w:pStyle w:val="9"/>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pStyle w:val="9"/>
        <w:spacing w:line="360" w:lineRule="auto"/>
        <w:contextualSpacing/>
      </w:pPr>
      <w:bookmarkStart w:id="10" w:name="_Toc6464"/>
      <w:r>
        <w:t>第三章 建设项目工程概况</w:t>
      </w:r>
      <w:bookmarkEnd w:id="10"/>
    </w:p>
    <w:p>
      <w:pPr>
        <w:pStyle w:val="10"/>
        <w:spacing w:line="360" w:lineRule="auto"/>
        <w:contextualSpacing/>
      </w:pPr>
      <w:bookmarkStart w:id="11" w:name="_Toc6374"/>
      <w:r>
        <w:t>3.1地理位置及厂区平面布置</w:t>
      </w:r>
      <w:bookmarkEnd w:id="11"/>
    </w:p>
    <w:p>
      <w:pPr>
        <w:pStyle w:val="23"/>
        <w:spacing w:after="0" w:line="360" w:lineRule="auto"/>
        <w:ind w:firstLine="480" w:firstLineChars="200"/>
        <w:contextualSpacing/>
        <w:rPr>
          <w:kern w:val="0"/>
          <w:sz w:val="24"/>
          <w:szCs w:val="24"/>
        </w:rPr>
      </w:pPr>
      <w:r>
        <w:rPr>
          <w:rFonts w:hint="eastAsia"/>
          <w:sz w:val="24"/>
        </w:rPr>
        <w:t>佰润新材（寿光）有限公司位于寿光侯镇化工产业园金源路以南，丰东路以东。公司厂区东侧为空地，南侧隔岔盐路为寿光金太阳热电有限公司，西侧隔丰东路为空地，北侧为山东昊邦化学有限公司</w:t>
      </w:r>
      <w:r>
        <w:rPr>
          <w:rFonts w:hint="eastAsia"/>
          <w:kern w:val="0"/>
          <w:sz w:val="24"/>
          <w:szCs w:val="24"/>
        </w:rPr>
        <w:t>。项目地理位置见图3.1-1，项目周边环境图见图3.1-2，项目实际项目平面布置见图3.1-3。</w:t>
      </w:r>
    </w:p>
    <w:p>
      <w:pPr>
        <w:pStyle w:val="23"/>
        <w:spacing w:after="0" w:line="360" w:lineRule="auto"/>
        <w:ind w:firstLine="480" w:firstLineChars="200"/>
        <w:contextualSpacing/>
        <w:rPr>
          <w:sz w:val="24"/>
          <w:szCs w:val="24"/>
        </w:rPr>
      </w:pPr>
      <w:r>
        <w:rPr>
          <w:kern w:val="0"/>
          <w:sz w:val="24"/>
          <w:szCs w:val="24"/>
        </w:rPr>
        <w:t>本项目环评及批复</w:t>
      </w:r>
      <w:r>
        <w:rPr>
          <w:rFonts w:hint="eastAsia"/>
          <w:kern w:val="0"/>
          <w:sz w:val="24"/>
          <w:szCs w:val="24"/>
        </w:rPr>
        <w:t>未</w:t>
      </w:r>
      <w:r>
        <w:rPr>
          <w:kern w:val="0"/>
          <w:sz w:val="24"/>
          <w:szCs w:val="24"/>
        </w:rPr>
        <w:t>设置大气环境防护距离。本项目与环评阶段相比周围环境保护目标无变化，未新增环境敏感点。验收期间项目周边5000m情况见表3.1-1。</w:t>
      </w:r>
    </w:p>
    <w:p>
      <w:pPr>
        <w:pStyle w:val="23"/>
        <w:tabs>
          <w:tab w:val="left" w:pos="4023"/>
        </w:tabs>
        <w:kinsoku w:val="0"/>
        <w:overflowPunct w:val="0"/>
        <w:spacing w:after="0" w:line="360" w:lineRule="auto"/>
        <w:jc w:val="center"/>
        <w:rPr>
          <w:b/>
          <w:bCs/>
        </w:rPr>
      </w:pPr>
      <w:r>
        <w:rPr>
          <w:b/>
          <w:bCs/>
        </w:rPr>
        <w:t>表</w:t>
      </w:r>
      <w:r>
        <w:rPr>
          <w:b/>
          <w:bCs/>
          <w:spacing w:val="2"/>
        </w:rPr>
        <w:t xml:space="preserve"> </w:t>
      </w:r>
      <w:r>
        <w:rPr>
          <w:b/>
          <w:bCs/>
        </w:rPr>
        <w:t>3.1-1 验收期间项目周边5000m情况表</w:t>
      </w:r>
    </w:p>
    <w:tbl>
      <w:tblPr>
        <w:tblStyle w:val="39"/>
        <w:tblW w:w="823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18"/>
        <w:gridCol w:w="2449"/>
        <w:gridCol w:w="2127"/>
        <w:gridCol w:w="274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918" w:type="dxa"/>
            <w:tcBorders>
              <w:tl2br w:val="nil"/>
              <w:tr2bl w:val="nil"/>
            </w:tcBorders>
            <w:vAlign w:val="center"/>
          </w:tcPr>
          <w:p>
            <w:pPr>
              <w:pStyle w:val="3"/>
              <w:spacing w:after="0" w:line="360" w:lineRule="auto"/>
              <w:ind w:left="0" w:leftChars="0"/>
              <w:jc w:val="center"/>
              <w:rPr>
                <w:b/>
                <w:bCs/>
              </w:rPr>
            </w:pPr>
            <w:r>
              <w:rPr>
                <w:b/>
                <w:bCs/>
              </w:rPr>
              <w:t>序号</w:t>
            </w:r>
          </w:p>
        </w:tc>
        <w:tc>
          <w:tcPr>
            <w:tcW w:w="2449" w:type="dxa"/>
            <w:tcBorders>
              <w:tl2br w:val="nil"/>
              <w:tr2bl w:val="nil"/>
            </w:tcBorders>
            <w:vAlign w:val="center"/>
          </w:tcPr>
          <w:p>
            <w:pPr>
              <w:pStyle w:val="3"/>
              <w:spacing w:after="0" w:line="360" w:lineRule="auto"/>
              <w:ind w:left="0" w:leftChars="0"/>
              <w:jc w:val="center"/>
              <w:rPr>
                <w:b/>
                <w:bCs/>
              </w:rPr>
            </w:pPr>
            <w:r>
              <w:rPr>
                <w:b/>
                <w:bCs/>
              </w:rPr>
              <w:t>名称</w:t>
            </w:r>
          </w:p>
        </w:tc>
        <w:tc>
          <w:tcPr>
            <w:tcW w:w="2127" w:type="dxa"/>
            <w:tcBorders>
              <w:tl2br w:val="nil"/>
              <w:tr2bl w:val="nil"/>
            </w:tcBorders>
            <w:vAlign w:val="center"/>
          </w:tcPr>
          <w:p>
            <w:pPr>
              <w:pStyle w:val="3"/>
              <w:spacing w:after="0" w:line="360" w:lineRule="auto"/>
              <w:ind w:left="0" w:leftChars="0"/>
              <w:jc w:val="center"/>
              <w:rPr>
                <w:b/>
                <w:bCs/>
              </w:rPr>
            </w:pPr>
            <w:r>
              <w:rPr>
                <w:b/>
                <w:bCs/>
              </w:rPr>
              <w:t>方位</w:t>
            </w:r>
          </w:p>
        </w:tc>
        <w:tc>
          <w:tcPr>
            <w:tcW w:w="2741" w:type="dxa"/>
            <w:tcBorders>
              <w:tl2br w:val="nil"/>
              <w:tr2bl w:val="nil"/>
            </w:tcBorders>
            <w:vAlign w:val="center"/>
          </w:tcPr>
          <w:p>
            <w:pPr>
              <w:pStyle w:val="3"/>
              <w:spacing w:after="0" w:line="360" w:lineRule="auto"/>
              <w:ind w:left="0" w:leftChars="0"/>
              <w:jc w:val="center"/>
              <w:rPr>
                <w:b/>
                <w:bCs/>
              </w:rPr>
            </w:pPr>
            <w:r>
              <w:rPr>
                <w:b/>
                <w:bCs/>
              </w:rPr>
              <w:t>与厂界距离（m）</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 w:type="dxa"/>
            <w:tcBorders>
              <w:tl2br w:val="nil"/>
              <w:tr2bl w:val="nil"/>
            </w:tcBorders>
            <w:vAlign w:val="center"/>
          </w:tcPr>
          <w:p>
            <w:pPr>
              <w:pStyle w:val="3"/>
              <w:spacing w:after="0" w:line="360" w:lineRule="auto"/>
              <w:ind w:left="0" w:leftChars="0"/>
              <w:jc w:val="center"/>
            </w:pPr>
            <w:r>
              <w:t>1</w:t>
            </w:r>
          </w:p>
        </w:tc>
        <w:tc>
          <w:tcPr>
            <w:tcW w:w="2449" w:type="dxa"/>
            <w:tcBorders>
              <w:tl2br w:val="nil"/>
              <w:tr2bl w:val="nil"/>
            </w:tcBorders>
            <w:vAlign w:val="center"/>
          </w:tcPr>
          <w:p>
            <w:pPr>
              <w:pStyle w:val="3"/>
              <w:spacing w:after="0" w:line="360" w:lineRule="auto"/>
              <w:ind w:left="0" w:leftChars="0"/>
              <w:jc w:val="center"/>
              <w:rPr>
                <w:bCs/>
              </w:rPr>
            </w:pPr>
            <w:r>
              <w:rPr>
                <w:rFonts w:hint="eastAsia"/>
                <w:bCs/>
              </w:rPr>
              <w:t>张家围子村</w:t>
            </w:r>
          </w:p>
        </w:tc>
        <w:tc>
          <w:tcPr>
            <w:tcW w:w="2127" w:type="dxa"/>
            <w:tcBorders>
              <w:tl2br w:val="nil"/>
              <w:tr2bl w:val="nil"/>
            </w:tcBorders>
            <w:vAlign w:val="center"/>
          </w:tcPr>
          <w:p>
            <w:pPr>
              <w:pStyle w:val="3"/>
              <w:spacing w:after="0" w:line="360" w:lineRule="auto"/>
              <w:ind w:left="0" w:leftChars="0"/>
              <w:jc w:val="center"/>
              <w:rPr>
                <w:bCs/>
              </w:rPr>
            </w:pPr>
            <w:r>
              <w:rPr>
                <w:rFonts w:hint="eastAsia"/>
                <w:bCs/>
              </w:rPr>
              <w:t>NW</w:t>
            </w:r>
          </w:p>
        </w:tc>
        <w:tc>
          <w:tcPr>
            <w:tcW w:w="2741" w:type="dxa"/>
            <w:tcBorders>
              <w:tl2br w:val="nil"/>
              <w:tr2bl w:val="nil"/>
            </w:tcBorders>
            <w:vAlign w:val="center"/>
          </w:tcPr>
          <w:p>
            <w:pPr>
              <w:pStyle w:val="3"/>
              <w:spacing w:after="0" w:line="360" w:lineRule="auto"/>
              <w:ind w:left="0" w:leftChars="0"/>
              <w:jc w:val="center"/>
              <w:rPr>
                <w:bCs/>
              </w:rPr>
            </w:pPr>
            <w:r>
              <w:rPr>
                <w:rFonts w:hint="eastAsia"/>
                <w:bCs/>
              </w:rPr>
              <w:t>2887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 w:type="dxa"/>
            <w:tcBorders>
              <w:tl2br w:val="nil"/>
              <w:tr2bl w:val="nil"/>
            </w:tcBorders>
            <w:vAlign w:val="center"/>
          </w:tcPr>
          <w:p>
            <w:pPr>
              <w:pStyle w:val="3"/>
              <w:spacing w:after="0" w:line="360" w:lineRule="auto"/>
              <w:ind w:left="0" w:leftChars="0"/>
              <w:jc w:val="center"/>
            </w:pPr>
            <w:r>
              <w:t>2</w:t>
            </w:r>
          </w:p>
        </w:tc>
        <w:tc>
          <w:tcPr>
            <w:tcW w:w="2449" w:type="dxa"/>
            <w:tcBorders>
              <w:tl2br w:val="nil"/>
              <w:tr2bl w:val="nil"/>
            </w:tcBorders>
            <w:vAlign w:val="center"/>
          </w:tcPr>
          <w:p>
            <w:pPr>
              <w:pStyle w:val="3"/>
              <w:spacing w:after="0" w:line="360" w:lineRule="auto"/>
              <w:ind w:left="0" w:leftChars="0"/>
              <w:jc w:val="center"/>
              <w:rPr>
                <w:bCs/>
              </w:rPr>
            </w:pPr>
            <w:r>
              <w:rPr>
                <w:rFonts w:hint="eastAsia"/>
                <w:bCs/>
              </w:rPr>
              <w:t>东岔河村</w:t>
            </w:r>
          </w:p>
        </w:tc>
        <w:tc>
          <w:tcPr>
            <w:tcW w:w="2127" w:type="dxa"/>
            <w:tcBorders>
              <w:tl2br w:val="nil"/>
              <w:tr2bl w:val="nil"/>
            </w:tcBorders>
            <w:vAlign w:val="center"/>
          </w:tcPr>
          <w:p>
            <w:pPr>
              <w:pStyle w:val="3"/>
              <w:spacing w:after="0" w:line="360" w:lineRule="auto"/>
              <w:ind w:left="0" w:leftChars="0"/>
              <w:jc w:val="center"/>
              <w:rPr>
                <w:bCs/>
              </w:rPr>
            </w:pPr>
            <w:r>
              <w:rPr>
                <w:rFonts w:hint="eastAsia"/>
                <w:bCs/>
              </w:rPr>
              <w:t>SW</w:t>
            </w:r>
          </w:p>
        </w:tc>
        <w:tc>
          <w:tcPr>
            <w:tcW w:w="2741" w:type="dxa"/>
            <w:tcBorders>
              <w:tl2br w:val="nil"/>
              <w:tr2bl w:val="nil"/>
            </w:tcBorders>
            <w:vAlign w:val="center"/>
          </w:tcPr>
          <w:p>
            <w:pPr>
              <w:pStyle w:val="3"/>
              <w:spacing w:after="0" w:line="360" w:lineRule="auto"/>
              <w:ind w:left="0" w:leftChars="0"/>
              <w:jc w:val="center"/>
              <w:rPr>
                <w:bCs/>
              </w:rPr>
            </w:pPr>
            <w:r>
              <w:rPr>
                <w:rFonts w:hint="eastAsia"/>
                <w:bCs/>
              </w:rPr>
              <w:t>3806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 w:type="dxa"/>
            <w:tcBorders>
              <w:tl2br w:val="nil"/>
              <w:tr2bl w:val="nil"/>
            </w:tcBorders>
            <w:vAlign w:val="center"/>
          </w:tcPr>
          <w:p>
            <w:pPr>
              <w:pStyle w:val="3"/>
              <w:spacing w:after="0" w:line="360" w:lineRule="auto"/>
              <w:ind w:left="0" w:leftChars="0"/>
              <w:jc w:val="center"/>
            </w:pPr>
            <w:r>
              <w:t>3</w:t>
            </w:r>
          </w:p>
        </w:tc>
        <w:tc>
          <w:tcPr>
            <w:tcW w:w="2449" w:type="dxa"/>
            <w:tcBorders>
              <w:tl2br w:val="nil"/>
              <w:tr2bl w:val="nil"/>
            </w:tcBorders>
            <w:vAlign w:val="center"/>
          </w:tcPr>
          <w:p>
            <w:pPr>
              <w:pStyle w:val="3"/>
              <w:spacing w:after="0" w:line="360" w:lineRule="auto"/>
              <w:ind w:left="0" w:leftChars="0"/>
              <w:jc w:val="center"/>
              <w:rPr>
                <w:bCs/>
              </w:rPr>
            </w:pPr>
            <w:r>
              <w:rPr>
                <w:rFonts w:hint="eastAsia"/>
                <w:bCs/>
              </w:rPr>
              <w:t>东南岭一村</w:t>
            </w:r>
          </w:p>
        </w:tc>
        <w:tc>
          <w:tcPr>
            <w:tcW w:w="2127" w:type="dxa"/>
            <w:tcBorders>
              <w:tl2br w:val="nil"/>
              <w:tr2bl w:val="nil"/>
            </w:tcBorders>
            <w:vAlign w:val="center"/>
          </w:tcPr>
          <w:p>
            <w:pPr>
              <w:spacing w:line="360" w:lineRule="auto"/>
              <w:jc w:val="center"/>
              <w:rPr>
                <w:bCs/>
              </w:rPr>
            </w:pPr>
            <w:r>
              <w:rPr>
                <w:rFonts w:hint="eastAsia"/>
                <w:bCs/>
              </w:rPr>
              <w:t>SW</w:t>
            </w:r>
          </w:p>
        </w:tc>
        <w:tc>
          <w:tcPr>
            <w:tcW w:w="2741" w:type="dxa"/>
            <w:tcBorders>
              <w:tl2br w:val="nil"/>
              <w:tr2bl w:val="nil"/>
            </w:tcBorders>
            <w:vAlign w:val="center"/>
          </w:tcPr>
          <w:p>
            <w:pPr>
              <w:pStyle w:val="3"/>
              <w:spacing w:after="0" w:line="360" w:lineRule="auto"/>
              <w:ind w:left="0" w:leftChars="0"/>
              <w:jc w:val="center"/>
              <w:rPr>
                <w:bCs/>
              </w:rPr>
            </w:pPr>
            <w:r>
              <w:rPr>
                <w:rFonts w:hint="eastAsia"/>
                <w:bCs/>
              </w:rPr>
              <w:t>3090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 w:type="dxa"/>
            <w:tcBorders>
              <w:tl2br w:val="nil"/>
              <w:tr2bl w:val="nil"/>
            </w:tcBorders>
            <w:vAlign w:val="center"/>
          </w:tcPr>
          <w:p>
            <w:pPr>
              <w:pStyle w:val="3"/>
              <w:spacing w:after="0" w:line="360" w:lineRule="auto"/>
              <w:ind w:left="0" w:leftChars="0"/>
              <w:jc w:val="center"/>
            </w:pPr>
            <w:r>
              <w:t>4</w:t>
            </w:r>
          </w:p>
        </w:tc>
        <w:tc>
          <w:tcPr>
            <w:tcW w:w="2449" w:type="dxa"/>
            <w:tcBorders>
              <w:tl2br w:val="nil"/>
              <w:tr2bl w:val="nil"/>
            </w:tcBorders>
            <w:vAlign w:val="center"/>
          </w:tcPr>
          <w:p>
            <w:pPr>
              <w:spacing w:line="360" w:lineRule="auto"/>
              <w:jc w:val="center"/>
              <w:rPr>
                <w:bCs/>
              </w:rPr>
            </w:pPr>
            <w:r>
              <w:rPr>
                <w:rFonts w:hint="eastAsia"/>
                <w:bCs/>
              </w:rPr>
              <w:t>东南岭二村</w:t>
            </w:r>
          </w:p>
        </w:tc>
        <w:tc>
          <w:tcPr>
            <w:tcW w:w="2127" w:type="dxa"/>
            <w:tcBorders>
              <w:tl2br w:val="nil"/>
              <w:tr2bl w:val="nil"/>
            </w:tcBorders>
            <w:vAlign w:val="center"/>
          </w:tcPr>
          <w:p>
            <w:pPr>
              <w:spacing w:line="360" w:lineRule="auto"/>
              <w:jc w:val="center"/>
              <w:rPr>
                <w:bCs/>
              </w:rPr>
            </w:pPr>
            <w:r>
              <w:rPr>
                <w:rFonts w:hint="eastAsia"/>
                <w:bCs/>
              </w:rPr>
              <w:t>SW</w:t>
            </w:r>
          </w:p>
        </w:tc>
        <w:tc>
          <w:tcPr>
            <w:tcW w:w="2741" w:type="dxa"/>
            <w:tcBorders>
              <w:tl2br w:val="nil"/>
              <w:tr2bl w:val="nil"/>
            </w:tcBorders>
            <w:vAlign w:val="center"/>
          </w:tcPr>
          <w:p>
            <w:pPr>
              <w:pStyle w:val="3"/>
              <w:spacing w:after="0" w:line="360" w:lineRule="auto"/>
              <w:ind w:left="0" w:leftChars="0"/>
              <w:jc w:val="center"/>
              <w:rPr>
                <w:bCs/>
              </w:rPr>
            </w:pPr>
            <w:r>
              <w:rPr>
                <w:rFonts w:hint="eastAsia"/>
                <w:bCs/>
              </w:rPr>
              <w:t>2819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 w:type="dxa"/>
            <w:tcBorders>
              <w:tl2br w:val="nil"/>
              <w:tr2bl w:val="nil"/>
            </w:tcBorders>
            <w:vAlign w:val="center"/>
          </w:tcPr>
          <w:p>
            <w:pPr>
              <w:pStyle w:val="3"/>
              <w:spacing w:after="0" w:line="360" w:lineRule="auto"/>
              <w:ind w:left="0" w:leftChars="0"/>
              <w:jc w:val="center"/>
            </w:pPr>
            <w:r>
              <w:rPr>
                <w:rFonts w:hint="eastAsia"/>
              </w:rPr>
              <w:t>5</w:t>
            </w:r>
          </w:p>
        </w:tc>
        <w:tc>
          <w:tcPr>
            <w:tcW w:w="2449" w:type="dxa"/>
            <w:tcBorders>
              <w:tl2br w:val="nil"/>
              <w:tr2bl w:val="nil"/>
            </w:tcBorders>
            <w:vAlign w:val="center"/>
          </w:tcPr>
          <w:p>
            <w:pPr>
              <w:spacing w:line="360" w:lineRule="auto"/>
              <w:jc w:val="center"/>
              <w:rPr>
                <w:bCs/>
              </w:rPr>
            </w:pPr>
            <w:r>
              <w:rPr>
                <w:rFonts w:hint="eastAsia"/>
                <w:bCs/>
              </w:rPr>
              <w:t>东南岭三村</w:t>
            </w:r>
          </w:p>
        </w:tc>
        <w:tc>
          <w:tcPr>
            <w:tcW w:w="2127" w:type="dxa"/>
            <w:tcBorders>
              <w:tl2br w:val="nil"/>
              <w:tr2bl w:val="nil"/>
            </w:tcBorders>
            <w:vAlign w:val="center"/>
          </w:tcPr>
          <w:p>
            <w:pPr>
              <w:spacing w:line="360" w:lineRule="auto"/>
              <w:jc w:val="center"/>
              <w:rPr>
                <w:bCs/>
              </w:rPr>
            </w:pPr>
            <w:r>
              <w:rPr>
                <w:rFonts w:hint="eastAsia"/>
                <w:bCs/>
              </w:rPr>
              <w:t>SW</w:t>
            </w:r>
          </w:p>
        </w:tc>
        <w:tc>
          <w:tcPr>
            <w:tcW w:w="2741" w:type="dxa"/>
            <w:tcBorders>
              <w:tl2br w:val="nil"/>
              <w:tr2bl w:val="nil"/>
            </w:tcBorders>
            <w:vAlign w:val="center"/>
          </w:tcPr>
          <w:p>
            <w:pPr>
              <w:pStyle w:val="3"/>
              <w:spacing w:after="0" w:line="360" w:lineRule="auto"/>
              <w:ind w:left="0" w:leftChars="0"/>
              <w:jc w:val="center"/>
              <w:rPr>
                <w:bCs/>
              </w:rPr>
            </w:pPr>
            <w:r>
              <w:rPr>
                <w:rFonts w:hint="eastAsia"/>
                <w:bCs/>
              </w:rPr>
              <w:t>2977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 w:type="dxa"/>
            <w:tcBorders>
              <w:tl2br w:val="nil"/>
              <w:tr2bl w:val="nil"/>
            </w:tcBorders>
            <w:vAlign w:val="center"/>
          </w:tcPr>
          <w:p>
            <w:pPr>
              <w:pStyle w:val="3"/>
              <w:spacing w:after="0" w:line="360" w:lineRule="auto"/>
              <w:ind w:left="0" w:leftChars="0"/>
              <w:jc w:val="center"/>
            </w:pPr>
            <w:r>
              <w:rPr>
                <w:rFonts w:hint="eastAsia"/>
              </w:rPr>
              <w:t>6</w:t>
            </w:r>
          </w:p>
        </w:tc>
        <w:tc>
          <w:tcPr>
            <w:tcW w:w="2449" w:type="dxa"/>
            <w:tcBorders>
              <w:tl2br w:val="nil"/>
              <w:tr2bl w:val="nil"/>
            </w:tcBorders>
            <w:vAlign w:val="center"/>
          </w:tcPr>
          <w:p>
            <w:pPr>
              <w:pStyle w:val="3"/>
              <w:spacing w:after="0" w:line="360" w:lineRule="auto"/>
              <w:ind w:left="0" w:leftChars="0"/>
              <w:jc w:val="center"/>
              <w:rPr>
                <w:bCs/>
              </w:rPr>
            </w:pPr>
            <w:r>
              <w:rPr>
                <w:rFonts w:hint="eastAsia"/>
                <w:bCs/>
              </w:rPr>
              <w:t>地沟村</w:t>
            </w:r>
          </w:p>
        </w:tc>
        <w:tc>
          <w:tcPr>
            <w:tcW w:w="2127" w:type="dxa"/>
            <w:tcBorders>
              <w:tl2br w:val="nil"/>
              <w:tr2bl w:val="nil"/>
            </w:tcBorders>
            <w:vAlign w:val="center"/>
          </w:tcPr>
          <w:p>
            <w:pPr>
              <w:pStyle w:val="3"/>
              <w:spacing w:after="0" w:line="360" w:lineRule="auto"/>
              <w:ind w:left="0" w:leftChars="0"/>
              <w:jc w:val="center"/>
              <w:rPr>
                <w:bCs/>
              </w:rPr>
            </w:pPr>
            <w:r>
              <w:rPr>
                <w:rFonts w:hint="eastAsia"/>
                <w:bCs/>
              </w:rPr>
              <w:t>SW</w:t>
            </w:r>
          </w:p>
        </w:tc>
        <w:tc>
          <w:tcPr>
            <w:tcW w:w="2741" w:type="dxa"/>
            <w:tcBorders>
              <w:tl2br w:val="nil"/>
              <w:tr2bl w:val="nil"/>
            </w:tcBorders>
            <w:vAlign w:val="center"/>
          </w:tcPr>
          <w:p>
            <w:pPr>
              <w:pStyle w:val="3"/>
              <w:spacing w:after="0" w:line="360" w:lineRule="auto"/>
              <w:ind w:left="0" w:leftChars="0"/>
              <w:jc w:val="center"/>
              <w:rPr>
                <w:bCs/>
              </w:rPr>
            </w:pPr>
            <w:r>
              <w:rPr>
                <w:rFonts w:hint="eastAsia"/>
                <w:bCs/>
              </w:rPr>
              <w:t>3856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 w:type="dxa"/>
            <w:tcBorders>
              <w:tl2br w:val="nil"/>
              <w:tr2bl w:val="nil"/>
            </w:tcBorders>
            <w:vAlign w:val="center"/>
          </w:tcPr>
          <w:p>
            <w:pPr>
              <w:pStyle w:val="3"/>
              <w:spacing w:after="0" w:line="360" w:lineRule="auto"/>
              <w:ind w:left="0" w:leftChars="0"/>
              <w:jc w:val="center"/>
            </w:pPr>
            <w:r>
              <w:rPr>
                <w:rFonts w:hint="eastAsia"/>
              </w:rPr>
              <w:t>7</w:t>
            </w:r>
          </w:p>
        </w:tc>
        <w:tc>
          <w:tcPr>
            <w:tcW w:w="2449" w:type="dxa"/>
            <w:tcBorders>
              <w:tl2br w:val="nil"/>
              <w:tr2bl w:val="nil"/>
            </w:tcBorders>
            <w:vAlign w:val="center"/>
          </w:tcPr>
          <w:p>
            <w:pPr>
              <w:pStyle w:val="3"/>
              <w:spacing w:after="0" w:line="360" w:lineRule="auto"/>
              <w:ind w:left="0" w:leftChars="0"/>
              <w:jc w:val="center"/>
              <w:rPr>
                <w:bCs/>
              </w:rPr>
            </w:pPr>
            <w:r>
              <w:rPr>
                <w:rFonts w:hint="eastAsia"/>
                <w:bCs/>
              </w:rPr>
              <w:t>小地沟村</w:t>
            </w:r>
          </w:p>
        </w:tc>
        <w:tc>
          <w:tcPr>
            <w:tcW w:w="2127" w:type="dxa"/>
            <w:tcBorders>
              <w:tl2br w:val="nil"/>
              <w:tr2bl w:val="nil"/>
            </w:tcBorders>
            <w:vAlign w:val="center"/>
          </w:tcPr>
          <w:p>
            <w:pPr>
              <w:pStyle w:val="3"/>
              <w:spacing w:after="0" w:line="360" w:lineRule="auto"/>
              <w:ind w:left="0" w:leftChars="0"/>
              <w:jc w:val="center"/>
              <w:rPr>
                <w:bCs/>
              </w:rPr>
            </w:pPr>
            <w:r>
              <w:rPr>
                <w:rFonts w:hint="eastAsia"/>
                <w:bCs/>
              </w:rPr>
              <w:t>S</w:t>
            </w:r>
          </w:p>
        </w:tc>
        <w:tc>
          <w:tcPr>
            <w:tcW w:w="2741" w:type="dxa"/>
            <w:tcBorders>
              <w:tl2br w:val="nil"/>
              <w:tr2bl w:val="nil"/>
            </w:tcBorders>
            <w:vAlign w:val="center"/>
          </w:tcPr>
          <w:p>
            <w:pPr>
              <w:pStyle w:val="3"/>
              <w:spacing w:after="0" w:line="360" w:lineRule="auto"/>
              <w:ind w:left="0" w:leftChars="0"/>
              <w:jc w:val="center"/>
              <w:rPr>
                <w:bCs/>
              </w:rPr>
            </w:pPr>
            <w:r>
              <w:rPr>
                <w:rFonts w:hint="eastAsia"/>
                <w:bCs/>
              </w:rPr>
              <w:t>4157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 w:type="dxa"/>
            <w:tcBorders>
              <w:tl2br w:val="nil"/>
              <w:tr2bl w:val="nil"/>
            </w:tcBorders>
            <w:vAlign w:val="center"/>
          </w:tcPr>
          <w:p>
            <w:pPr>
              <w:pStyle w:val="3"/>
              <w:spacing w:after="0" w:line="360" w:lineRule="auto"/>
              <w:ind w:left="0" w:leftChars="0"/>
              <w:jc w:val="center"/>
            </w:pPr>
            <w:r>
              <w:t>8</w:t>
            </w:r>
          </w:p>
        </w:tc>
        <w:tc>
          <w:tcPr>
            <w:tcW w:w="2449" w:type="dxa"/>
            <w:tcBorders>
              <w:tl2br w:val="nil"/>
              <w:tr2bl w:val="nil"/>
            </w:tcBorders>
            <w:vAlign w:val="center"/>
          </w:tcPr>
          <w:p>
            <w:pPr>
              <w:pStyle w:val="3"/>
              <w:spacing w:after="0" w:line="360" w:lineRule="auto"/>
              <w:ind w:left="0" w:leftChars="0"/>
              <w:jc w:val="center"/>
              <w:rPr>
                <w:bCs/>
              </w:rPr>
            </w:pPr>
            <w:r>
              <w:rPr>
                <w:rFonts w:hint="eastAsia"/>
                <w:bCs/>
              </w:rPr>
              <w:t>黄家庄子村</w:t>
            </w:r>
          </w:p>
        </w:tc>
        <w:tc>
          <w:tcPr>
            <w:tcW w:w="2127" w:type="dxa"/>
            <w:tcBorders>
              <w:tl2br w:val="nil"/>
              <w:tr2bl w:val="nil"/>
            </w:tcBorders>
            <w:vAlign w:val="center"/>
          </w:tcPr>
          <w:p>
            <w:pPr>
              <w:pStyle w:val="3"/>
              <w:spacing w:after="0" w:line="360" w:lineRule="auto"/>
              <w:ind w:left="0" w:leftChars="0"/>
              <w:jc w:val="center"/>
              <w:rPr>
                <w:bCs/>
              </w:rPr>
            </w:pPr>
            <w:r>
              <w:rPr>
                <w:rFonts w:hint="eastAsia"/>
                <w:bCs/>
              </w:rPr>
              <w:t>SE</w:t>
            </w:r>
          </w:p>
        </w:tc>
        <w:tc>
          <w:tcPr>
            <w:tcW w:w="2741" w:type="dxa"/>
            <w:tcBorders>
              <w:tl2br w:val="nil"/>
              <w:tr2bl w:val="nil"/>
            </w:tcBorders>
            <w:vAlign w:val="center"/>
          </w:tcPr>
          <w:p>
            <w:pPr>
              <w:pStyle w:val="3"/>
              <w:spacing w:after="0" w:line="360" w:lineRule="auto"/>
              <w:ind w:left="0" w:leftChars="0"/>
              <w:jc w:val="center"/>
              <w:rPr>
                <w:bCs/>
              </w:rPr>
            </w:pPr>
            <w:r>
              <w:rPr>
                <w:rFonts w:hint="eastAsia"/>
                <w:bCs/>
              </w:rPr>
              <w:t>4408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 w:type="dxa"/>
            <w:tcBorders>
              <w:tl2br w:val="nil"/>
              <w:tr2bl w:val="nil"/>
            </w:tcBorders>
            <w:vAlign w:val="center"/>
          </w:tcPr>
          <w:p>
            <w:pPr>
              <w:pStyle w:val="3"/>
              <w:spacing w:after="0" w:line="360" w:lineRule="auto"/>
              <w:ind w:left="0" w:leftChars="0"/>
              <w:jc w:val="center"/>
            </w:pPr>
            <w:r>
              <w:rPr>
                <w:rFonts w:hint="eastAsia"/>
              </w:rPr>
              <w:t>9</w:t>
            </w:r>
          </w:p>
        </w:tc>
        <w:tc>
          <w:tcPr>
            <w:tcW w:w="2449" w:type="dxa"/>
            <w:tcBorders>
              <w:tl2br w:val="nil"/>
              <w:tr2bl w:val="nil"/>
            </w:tcBorders>
            <w:vAlign w:val="center"/>
          </w:tcPr>
          <w:p>
            <w:pPr>
              <w:pStyle w:val="3"/>
              <w:spacing w:after="0" w:line="360" w:lineRule="auto"/>
              <w:ind w:left="0" w:leftChars="0"/>
              <w:jc w:val="center"/>
              <w:rPr>
                <w:bCs/>
              </w:rPr>
            </w:pPr>
            <w:r>
              <w:rPr>
                <w:rFonts w:hint="eastAsia"/>
                <w:bCs/>
              </w:rPr>
              <w:t>横里路村</w:t>
            </w:r>
          </w:p>
        </w:tc>
        <w:tc>
          <w:tcPr>
            <w:tcW w:w="2127" w:type="dxa"/>
            <w:tcBorders>
              <w:tl2br w:val="nil"/>
              <w:tr2bl w:val="nil"/>
            </w:tcBorders>
            <w:vAlign w:val="center"/>
          </w:tcPr>
          <w:p>
            <w:pPr>
              <w:pStyle w:val="3"/>
              <w:spacing w:after="0" w:line="360" w:lineRule="auto"/>
              <w:ind w:left="0" w:leftChars="0"/>
              <w:jc w:val="center"/>
              <w:rPr>
                <w:bCs/>
              </w:rPr>
            </w:pPr>
            <w:r>
              <w:rPr>
                <w:rFonts w:hint="eastAsia"/>
                <w:bCs/>
              </w:rPr>
              <w:t>SE</w:t>
            </w:r>
          </w:p>
        </w:tc>
        <w:tc>
          <w:tcPr>
            <w:tcW w:w="2741" w:type="dxa"/>
            <w:tcBorders>
              <w:tl2br w:val="nil"/>
              <w:tr2bl w:val="nil"/>
            </w:tcBorders>
            <w:vAlign w:val="center"/>
          </w:tcPr>
          <w:p>
            <w:pPr>
              <w:pStyle w:val="3"/>
              <w:spacing w:after="0" w:line="360" w:lineRule="auto"/>
              <w:ind w:left="0" w:leftChars="0"/>
              <w:jc w:val="center"/>
              <w:rPr>
                <w:bCs/>
              </w:rPr>
            </w:pPr>
            <w:r>
              <w:rPr>
                <w:rFonts w:hint="eastAsia"/>
                <w:bCs/>
              </w:rPr>
              <w:t>4709</w:t>
            </w:r>
          </w:p>
        </w:tc>
      </w:tr>
    </w:tbl>
    <w:p>
      <w:pPr>
        <w:pStyle w:val="10"/>
        <w:jc w:val="both"/>
        <w:rPr>
          <w:b w:val="0"/>
          <w:bCs w:val="0"/>
          <w:kern w:val="0"/>
          <w:sz w:val="24"/>
          <w:szCs w:val="24"/>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pStyle w:val="125"/>
        <w:tabs>
          <w:tab w:val="left" w:pos="2650"/>
        </w:tabs>
        <w:ind w:firstLine="0" w:firstLineChars="0"/>
        <w:jc w:val="center"/>
        <w:rPr>
          <w:b/>
          <w:kern w:val="0"/>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bookmarkStart w:id="12" w:name="_Toc31552"/>
      <w:r>
        <w:drawing>
          <wp:anchor distT="0" distB="0" distL="114300" distR="114300" simplePos="0" relativeHeight="251662336" behindDoc="0" locked="0" layoutInCell="1" allowOverlap="1">
            <wp:simplePos x="0" y="0"/>
            <wp:positionH relativeFrom="column">
              <wp:posOffset>0</wp:posOffset>
            </wp:positionH>
            <wp:positionV relativeFrom="paragraph">
              <wp:posOffset>85725</wp:posOffset>
            </wp:positionV>
            <wp:extent cx="5260975" cy="6533515"/>
            <wp:effectExtent l="0" t="0" r="15875" b="63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4"/>
                    <a:stretch>
                      <a:fillRect/>
                    </a:stretch>
                  </pic:blipFill>
                  <pic:spPr>
                    <a:xfrm>
                      <a:off x="0" y="0"/>
                      <a:ext cx="5260975" cy="6533515"/>
                    </a:xfrm>
                    <a:prstGeom prst="rect">
                      <a:avLst/>
                    </a:prstGeom>
                    <a:noFill/>
                    <a:ln>
                      <a:noFill/>
                    </a:ln>
                  </pic:spPr>
                </pic:pic>
              </a:graphicData>
            </a:graphic>
          </wp:anchor>
        </w:drawing>
      </w:r>
      <w:r>
        <w:rPr>
          <w:b/>
          <w:kern w:val="0"/>
        </w:rPr>
        <mc:AlternateContent>
          <mc:Choice Requires="wps">
            <w:drawing>
              <wp:anchor distT="0" distB="0" distL="114300" distR="114300" simplePos="0" relativeHeight="251659264" behindDoc="0" locked="0" layoutInCell="1" allowOverlap="1">
                <wp:simplePos x="0" y="0"/>
                <wp:positionH relativeFrom="column">
                  <wp:posOffset>-3865880</wp:posOffset>
                </wp:positionH>
                <wp:positionV relativeFrom="paragraph">
                  <wp:posOffset>103505</wp:posOffset>
                </wp:positionV>
                <wp:extent cx="53975" cy="90170"/>
                <wp:effectExtent l="19050" t="19050" r="3175" b="5080"/>
                <wp:wrapNone/>
                <wp:docPr id="26" name="矩形 186"/>
                <wp:cNvGraphicFramePr/>
                <a:graphic xmlns:a="http://schemas.openxmlformats.org/drawingml/2006/main">
                  <a:graphicData uri="http://schemas.microsoft.com/office/word/2010/wordprocessingShape">
                    <wps:wsp>
                      <wps:cNvSpPr/>
                      <wps:spPr>
                        <a:xfrm rot="600000" flipH="1" flipV="1">
                          <a:off x="0" y="0"/>
                          <a:ext cx="53975" cy="90170"/>
                        </a:xfrm>
                        <a:prstGeom prst="rect">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rect id="矩形 186" o:spid="_x0000_s1026" o:spt="1" style="position:absolute;left:0pt;flip:x y;margin-left:-304.4pt;margin-top:8.15pt;height:7.1pt;width:4.25pt;rotation:655360f;z-index:251659264;mso-width-relative:page;mso-height-relative:page;" fillcolor="#FF0000" filled="t" stroked="t" coordsize="21600,21600" o:gfxdata="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LxTrXWAAAACwEAAA8AAAAAAAAAAQAg&#10;AAAAIgAAAGRycy9kb3ducmV2LnhtbFBLAQIUABQAAAAIAIdO4kCkg3osEAIAAD8EAAAOAAAAAAAA&#10;AAEAIAAAACUBAABkcnMvZTJvRG9jLnhtbFBLBQYAAAAABgAGAFkBAACnBQAAAAA=&#10;">
                <v:fill on="t" focussize="0,0"/>
                <v:stroke color="#000000" joinstyle="miter"/>
                <v:imagedata o:title=""/>
                <o:lock v:ext="edit" aspectratio="f"/>
              </v:rect>
            </w:pict>
          </mc:Fallback>
        </mc:AlternateContent>
      </w:r>
      <w:r>
        <w:rPr>
          <w:b/>
          <w:kern w:val="0"/>
        </w:rPr>
        <mc:AlternateContent>
          <mc:Choice Requires="wps">
            <w:drawing>
              <wp:anchor distT="0" distB="0" distL="114300" distR="114300" simplePos="0" relativeHeight="251660288" behindDoc="0" locked="0" layoutInCell="1" allowOverlap="1">
                <wp:simplePos x="0" y="0"/>
                <wp:positionH relativeFrom="column">
                  <wp:posOffset>-4726940</wp:posOffset>
                </wp:positionH>
                <wp:positionV relativeFrom="paragraph">
                  <wp:posOffset>74295</wp:posOffset>
                </wp:positionV>
                <wp:extent cx="915035" cy="213360"/>
                <wp:effectExtent l="0" t="533400" r="0" b="0"/>
                <wp:wrapNone/>
                <wp:docPr id="27" name="自选图形 187"/>
                <wp:cNvGraphicFramePr/>
                <a:graphic xmlns:a="http://schemas.openxmlformats.org/drawingml/2006/main">
                  <a:graphicData uri="http://schemas.microsoft.com/office/word/2010/wordprocessingShape">
                    <wps:wsp>
                      <wps:cNvSpPr/>
                      <wps:spPr>
                        <a:xfrm>
                          <a:off x="0" y="0"/>
                          <a:ext cx="915035" cy="213360"/>
                        </a:xfrm>
                        <a:prstGeom prst="wedgeRoundRectCallout">
                          <a:avLst>
                            <a:gd name="adj1" fmla="val 45699"/>
                            <a:gd name="adj2" fmla="val -286606"/>
                            <a:gd name="adj3" fmla="val 16667"/>
                          </a:avLst>
                        </a:prstGeom>
                        <a:solidFill>
                          <a:srgbClr val="FFFFFF"/>
                        </a:solidFill>
                        <a:ln w="19050" cap="flat" cmpd="sng">
                          <a:solidFill>
                            <a:srgbClr val="000000"/>
                          </a:solidFill>
                          <a:prstDash val="solid"/>
                          <a:miter/>
                          <a:headEnd type="none" w="med" len="med"/>
                          <a:tailEnd type="none" w="med" len="med"/>
                        </a:ln>
                      </wps:spPr>
                      <wps:txbx>
                        <w:txbxContent>
                          <w:p>
                            <w:r>
                              <w:rPr>
                                <w:rFonts w:hint="eastAsia" w:cs="宋体"/>
                              </w:rPr>
                              <w:t>建设项目位置</w:t>
                            </w:r>
                          </w:p>
                        </w:txbxContent>
                      </wps:txbx>
                      <wps:bodyPr lIns="0" tIns="0" rIns="0" bIns="0" upright="1"/>
                    </wps:wsp>
                  </a:graphicData>
                </a:graphic>
              </wp:anchor>
            </w:drawing>
          </mc:Choice>
          <mc:Fallback>
            <w:pict>
              <v:shape id="自选图形 187" o:spid="_x0000_s1026" o:spt="62" type="#_x0000_t62" style="position:absolute;left:0pt;margin-left:-372.2pt;margin-top:5.85pt;height:16.8pt;width:72.05pt;z-index:251660288;mso-width-relative:page;mso-height-relative:page;" fillcolor="#FFFFFF" filled="t" stroked="t" coordsize="21600,21600" o:gfxdata="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L1isw9oAAAALAQAADwAAAAAAAAABACAAAAAiAAAAZHJzL2Rvd25yZXYueG1sUEsBAhQAFAAAAAgA&#10;h07iQDfQlnNcAgAA3gQAAA4AAAAAAAAAAQAgAAAAKQEAAGRycy9lMm9Eb2MueG1sUEsFBgAAAAAG&#10;AAYAWQEAAPcFAAAAAA==&#10;" adj="20671,-51107,14400">
                <v:fill on="t" focussize="0,0"/>
                <v:stroke weight="1.5pt" color="#000000" joinstyle="miter"/>
                <v:imagedata o:title=""/>
                <o:lock v:ext="edit" aspectratio="f"/>
                <v:textbox inset="0mm,0mm,0mm,0mm">
                  <w:txbxContent>
                    <w:p>
                      <w:r>
                        <w:rPr>
                          <w:rFonts w:hint="eastAsia" w:cs="宋体"/>
                        </w:rPr>
                        <w:t>建设项目位置</w:t>
                      </w:r>
                    </w:p>
                  </w:txbxContent>
                </v:textbox>
              </v:shape>
            </w:pict>
          </mc:Fallback>
        </mc:AlternateContent>
      </w:r>
      <w:bookmarkStart w:id="13" w:name="_Toc1543973"/>
      <w:r>
        <w:rPr>
          <w:b/>
          <w:kern w:val="0"/>
        </w:rPr>
        <w:t>图3.1-1 项目地理位置图</w:t>
      </w:r>
      <w:bookmarkEnd w:id="12"/>
      <w:bookmarkEnd w:id="13"/>
      <w:r>
        <w:rPr>
          <w:rFonts w:hint="eastAsia"/>
          <w:b/>
          <w:kern w:val="0"/>
        </w:rPr>
        <w:t>图（比例尺 1：240000）</w:t>
      </w:r>
    </w:p>
    <w:p>
      <w:pPr>
        <w:jc w:val="center"/>
        <w:rPr>
          <w:b/>
          <w:bCs/>
        </w:rPr>
      </w:pPr>
      <w:r>
        <w:drawing>
          <wp:anchor distT="0" distB="0" distL="114300" distR="114300" simplePos="0" relativeHeight="251663360" behindDoc="0" locked="0" layoutInCell="1" allowOverlap="1">
            <wp:simplePos x="0" y="0"/>
            <wp:positionH relativeFrom="column">
              <wp:posOffset>0</wp:posOffset>
            </wp:positionH>
            <wp:positionV relativeFrom="paragraph">
              <wp:posOffset>198120</wp:posOffset>
            </wp:positionV>
            <wp:extent cx="8859520" cy="4551045"/>
            <wp:effectExtent l="0" t="0" r="17780" b="1905"/>
            <wp:wrapSquare wrapText="bothSides"/>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5"/>
                    <a:stretch>
                      <a:fillRect/>
                    </a:stretch>
                  </pic:blipFill>
                  <pic:spPr>
                    <a:xfrm>
                      <a:off x="0" y="0"/>
                      <a:ext cx="8859520" cy="4551045"/>
                    </a:xfrm>
                    <a:prstGeom prst="rect">
                      <a:avLst/>
                    </a:prstGeom>
                    <a:noFill/>
                    <a:ln>
                      <a:noFill/>
                    </a:ln>
                  </pic:spPr>
                </pic:pic>
              </a:graphicData>
            </a:graphic>
          </wp:anchor>
        </w:drawing>
      </w:r>
    </w:p>
    <w:p>
      <w:pPr>
        <w:jc w:val="center"/>
        <w:rPr>
          <w:b/>
          <w:bCs/>
          <w:color w:val="0000FF"/>
        </w:rPr>
      </w:pPr>
    </w:p>
    <w:p>
      <w:pPr>
        <w:jc w:val="center"/>
        <w:rPr>
          <w:b/>
          <w:bCs/>
          <w:sz w:val="24"/>
          <w:szCs w:val="24"/>
        </w:rPr>
      </w:pPr>
      <w:r>
        <w:rPr>
          <w:b/>
          <w:bCs/>
        </w:rPr>
        <w:t>图3.1-2 项目周边环境图</w:t>
      </w:r>
    </w:p>
    <w:p>
      <w:pPr>
        <w:pStyle w:val="2"/>
        <w:sectPr>
          <w:footerReference r:id="rId7" w:type="default"/>
          <w:type w:val="continuous"/>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
        <w:sectPr>
          <w:type w:val="continuous"/>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
        <w:spacing w:after="0"/>
        <w:ind w:left="0" w:leftChars="0" w:firstLine="0" w:firstLineChars="0"/>
        <w:jc w:val="center"/>
      </w:pPr>
      <w:r>
        <w:drawing>
          <wp:anchor distT="0" distB="0" distL="114300" distR="114300" simplePos="0" relativeHeight="251674624" behindDoc="0" locked="0" layoutInCell="1" allowOverlap="1">
            <wp:simplePos x="0" y="0"/>
            <wp:positionH relativeFrom="column">
              <wp:posOffset>8021955</wp:posOffset>
            </wp:positionH>
            <wp:positionV relativeFrom="paragraph">
              <wp:posOffset>54610</wp:posOffset>
            </wp:positionV>
            <wp:extent cx="759460" cy="793115"/>
            <wp:effectExtent l="0" t="0" r="2540" b="6985"/>
            <wp:wrapNone/>
            <wp:docPr id="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
                    <pic:cNvPicPr>
                      <a:picLocks noChangeAspect="1"/>
                    </pic:cNvPicPr>
                  </pic:nvPicPr>
                  <pic:blipFill>
                    <a:blip r:embed="rId26"/>
                    <a:stretch>
                      <a:fillRect/>
                    </a:stretch>
                  </pic:blipFill>
                  <pic:spPr>
                    <a:xfrm>
                      <a:off x="0" y="0"/>
                      <a:ext cx="759460" cy="793115"/>
                    </a:xfrm>
                    <a:prstGeom prst="rect">
                      <a:avLst/>
                    </a:prstGeom>
                    <a:noFill/>
                    <a:ln>
                      <a:noFill/>
                    </a:ln>
                  </pic:spPr>
                </pic:pic>
              </a:graphicData>
            </a:graphic>
          </wp:anchor>
        </w:drawing>
      </w:r>
      <w:r>
        <w:drawing>
          <wp:inline distT="0" distB="0" distL="114300" distR="114300">
            <wp:extent cx="8856345" cy="4646930"/>
            <wp:effectExtent l="0" t="0" r="1905" b="1270"/>
            <wp:docPr id="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
                    <pic:cNvPicPr>
                      <a:picLocks noChangeAspect="1"/>
                    </pic:cNvPicPr>
                  </pic:nvPicPr>
                  <pic:blipFill>
                    <a:blip r:embed="rId27"/>
                    <a:stretch>
                      <a:fillRect/>
                    </a:stretch>
                  </pic:blipFill>
                  <pic:spPr>
                    <a:xfrm>
                      <a:off x="0" y="0"/>
                      <a:ext cx="8856345" cy="4646930"/>
                    </a:xfrm>
                    <a:prstGeom prst="rect">
                      <a:avLst/>
                    </a:prstGeom>
                    <a:noFill/>
                    <a:ln>
                      <a:noFill/>
                    </a:ln>
                  </pic:spPr>
                </pic:pic>
              </a:graphicData>
            </a:graphic>
          </wp:inline>
        </w:drawing>
      </w:r>
    </w:p>
    <w:p>
      <w:pPr>
        <w:jc w:val="center"/>
        <w:rPr>
          <w:b/>
          <w:bCs/>
        </w:rPr>
      </w:pPr>
    </w:p>
    <w:p>
      <w:pPr>
        <w:jc w:val="center"/>
        <w:rPr>
          <w:b/>
          <w:bCs/>
          <w:sz w:val="24"/>
          <w:szCs w:val="24"/>
        </w:rPr>
        <w:sectPr>
          <w:footerReference r:id="rId8" w:type="default"/>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b/>
          <w:bCs/>
        </w:rPr>
        <w:t>图3.1-3 项目厂区平面布置图</w:t>
      </w:r>
    </w:p>
    <w:p>
      <w:pPr>
        <w:pStyle w:val="10"/>
        <w:spacing w:line="360" w:lineRule="auto"/>
        <w:contextualSpacing/>
      </w:pPr>
      <w:bookmarkStart w:id="14" w:name="_Toc32608"/>
      <w:r>
        <w:t>3.2工程建设内容</w:t>
      </w:r>
      <w:bookmarkEnd w:id="14"/>
    </w:p>
    <w:p>
      <w:pPr>
        <w:pStyle w:val="11"/>
      </w:pPr>
      <w:bookmarkStart w:id="15" w:name="_Toc8671"/>
      <w:bookmarkStart w:id="16" w:name="_Toc45203795"/>
      <w:bookmarkStart w:id="17" w:name="_Toc28357"/>
      <w:bookmarkStart w:id="18" w:name="_Toc45202659"/>
      <w:r>
        <w:t>3.2.1项目名称、内容</w:t>
      </w:r>
      <w:bookmarkEnd w:id="15"/>
      <w:bookmarkEnd w:id="16"/>
      <w:bookmarkEnd w:id="17"/>
      <w:bookmarkEnd w:id="18"/>
    </w:p>
    <w:p>
      <w:pPr>
        <w:pStyle w:val="23"/>
        <w:spacing w:after="0" w:line="360" w:lineRule="auto"/>
        <w:ind w:firstLine="480" w:firstLineChars="200"/>
        <w:contextualSpacing/>
        <w:rPr>
          <w:sz w:val="24"/>
          <w:szCs w:val="24"/>
        </w:rPr>
      </w:pPr>
      <w:r>
        <w:rPr>
          <w:sz w:val="24"/>
          <w:szCs w:val="24"/>
        </w:rPr>
        <w:t>项目名称：年产</w:t>
      </w:r>
      <w:r>
        <w:rPr>
          <w:rFonts w:hint="eastAsia"/>
          <w:sz w:val="24"/>
          <w:szCs w:val="24"/>
        </w:rPr>
        <w:t>10万吨氯化石蜡</w:t>
      </w:r>
      <w:r>
        <w:rPr>
          <w:sz w:val="24"/>
          <w:szCs w:val="24"/>
        </w:rPr>
        <w:t>项目</w:t>
      </w:r>
    </w:p>
    <w:p>
      <w:pPr>
        <w:widowControl/>
        <w:autoSpaceDE w:val="0"/>
        <w:autoSpaceDN w:val="0"/>
        <w:spacing w:line="360" w:lineRule="auto"/>
        <w:ind w:firstLine="480" w:firstLineChars="200"/>
        <w:contextualSpacing/>
        <w:rPr>
          <w:sz w:val="24"/>
          <w:szCs w:val="24"/>
        </w:rPr>
      </w:pPr>
      <w:r>
        <w:rPr>
          <w:sz w:val="24"/>
          <w:szCs w:val="24"/>
        </w:rPr>
        <w:t>建设内容：</w:t>
      </w:r>
      <w:r>
        <w:rPr>
          <w:rFonts w:hint="eastAsia"/>
          <w:sz w:val="24"/>
          <w:szCs w:val="24"/>
        </w:rPr>
        <w:t>本项目主要建设内容：建设车间2座、罐区2座及中转泵房等配套设施，购置氯化塔、换热器等主要设备248台（套）及配套设施，形成年产10万吨氯化石蜡（中长链），副产85000吨31%盐酸、1400吨次氯酸钠的生产能力；</w:t>
      </w:r>
      <w:r>
        <w:rPr>
          <w:rFonts w:hint="eastAsia"/>
          <w:sz w:val="24"/>
          <w:szCs w:val="24"/>
          <w:lang w:val="en-US" w:eastAsia="zh-CN"/>
        </w:rPr>
        <w:t>新建项目全部依托佰润新材（寿光）有限公司现有设施</w:t>
      </w:r>
      <w:r>
        <w:rPr>
          <w:rFonts w:hint="eastAsia"/>
          <w:sz w:val="24"/>
          <w:szCs w:val="24"/>
        </w:rPr>
        <w:t>。</w:t>
      </w:r>
    </w:p>
    <w:p>
      <w:pPr>
        <w:pStyle w:val="23"/>
        <w:spacing w:after="0" w:line="360" w:lineRule="auto"/>
        <w:ind w:firstLine="480" w:firstLineChars="200"/>
        <w:contextualSpacing/>
        <w:rPr>
          <w:sz w:val="24"/>
          <w:szCs w:val="24"/>
        </w:rPr>
      </w:pPr>
      <w:r>
        <w:rPr>
          <w:sz w:val="24"/>
          <w:szCs w:val="24"/>
        </w:rPr>
        <w:t>劳动定员：</w:t>
      </w:r>
      <w:r>
        <w:rPr>
          <w:rFonts w:hint="eastAsia"/>
          <w:sz w:val="24"/>
          <w:szCs w:val="24"/>
        </w:rPr>
        <w:t>本项目劳动定员30人。采用三班制，每天工作24小时，年工作330天，年工作时间7920小时。</w:t>
      </w:r>
    </w:p>
    <w:p>
      <w:pPr>
        <w:pStyle w:val="11"/>
      </w:pPr>
      <w:bookmarkStart w:id="19" w:name="_Toc45202660"/>
      <w:bookmarkStart w:id="20" w:name="_Toc45203796"/>
      <w:bookmarkStart w:id="21" w:name="_Toc26125"/>
      <w:bookmarkStart w:id="22" w:name="_Toc9145"/>
      <w:r>
        <w:t>3.2.2工程建设基本内容</w:t>
      </w:r>
      <w:bookmarkEnd w:id="19"/>
      <w:bookmarkEnd w:id="20"/>
      <w:bookmarkEnd w:id="21"/>
      <w:bookmarkEnd w:id="22"/>
    </w:p>
    <w:p>
      <w:pPr>
        <w:pStyle w:val="23"/>
        <w:spacing w:after="0" w:line="360" w:lineRule="auto"/>
        <w:ind w:firstLine="480" w:firstLineChars="200"/>
        <w:contextualSpacing/>
        <w:rPr>
          <w:sz w:val="24"/>
          <w:szCs w:val="24"/>
        </w:rPr>
      </w:pPr>
      <w:r>
        <w:rPr>
          <w:sz w:val="24"/>
          <w:szCs w:val="24"/>
        </w:rPr>
        <w:t>项目主要构筑物一览表见表3.2-1。</w:t>
      </w:r>
    </w:p>
    <w:p>
      <w:pPr>
        <w:pStyle w:val="23"/>
        <w:spacing w:after="0" w:line="360" w:lineRule="auto"/>
        <w:ind w:firstLine="480" w:firstLineChars="200"/>
        <w:contextualSpacing/>
        <w:rPr>
          <w:sz w:val="24"/>
          <w:szCs w:val="24"/>
        </w:rPr>
        <w:sectPr>
          <w:footerReference r:id="rId9" w:type="default"/>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spacing w:line="440" w:lineRule="exact"/>
        <w:ind w:firstLine="480"/>
        <w:jc w:val="center"/>
      </w:pPr>
      <w:r>
        <w:rPr>
          <w:b/>
        </w:rPr>
        <w:t>表3.2-1 项目主要构筑物一览表</w:t>
      </w:r>
    </w:p>
    <w:tbl>
      <w:tblPr>
        <w:tblStyle w:val="39"/>
        <w:tblW w:w="1434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54"/>
        <w:gridCol w:w="499"/>
        <w:gridCol w:w="46"/>
        <w:gridCol w:w="884"/>
        <w:gridCol w:w="4878"/>
        <w:gridCol w:w="1188"/>
        <w:gridCol w:w="5150"/>
        <w:gridCol w:w="94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3" w:hRule="atLeast"/>
          <w:tblHeader/>
          <w:jc w:val="center"/>
        </w:trPr>
        <w:tc>
          <w:tcPr>
            <w:tcW w:w="8249" w:type="dxa"/>
            <w:gridSpan w:val="6"/>
            <w:tcBorders>
              <w:tl2br w:val="nil"/>
              <w:tr2bl w:val="nil"/>
            </w:tcBorders>
            <w:vAlign w:val="center"/>
          </w:tcPr>
          <w:p>
            <w:pPr>
              <w:adjustRightInd w:val="0"/>
              <w:snapToGrid w:val="0"/>
              <w:jc w:val="center"/>
              <w:rPr>
                <w:b/>
                <w:bCs/>
              </w:rPr>
            </w:pPr>
            <w:r>
              <w:rPr>
                <w:b/>
                <w:bCs/>
              </w:rPr>
              <w:t>环评及环评批复要求</w:t>
            </w:r>
          </w:p>
        </w:tc>
        <w:tc>
          <w:tcPr>
            <w:tcW w:w="5150" w:type="dxa"/>
            <w:vMerge w:val="restart"/>
            <w:tcBorders>
              <w:tl2br w:val="nil"/>
              <w:tr2bl w:val="nil"/>
            </w:tcBorders>
            <w:vAlign w:val="center"/>
          </w:tcPr>
          <w:p>
            <w:pPr>
              <w:adjustRightInd w:val="0"/>
              <w:snapToGrid w:val="0"/>
              <w:jc w:val="center"/>
            </w:pPr>
            <w:r>
              <w:rPr>
                <w:b/>
                <w:bCs/>
              </w:rPr>
              <w:t>实际建设</w:t>
            </w:r>
            <w:r>
              <w:rPr>
                <w:rFonts w:hint="eastAsia"/>
                <w:b/>
                <w:bCs/>
              </w:rPr>
              <w:t>情况</w:t>
            </w:r>
          </w:p>
        </w:tc>
        <w:tc>
          <w:tcPr>
            <w:tcW w:w="945" w:type="dxa"/>
            <w:vMerge w:val="restart"/>
            <w:tcBorders>
              <w:tl2br w:val="nil"/>
              <w:tr2bl w:val="nil"/>
            </w:tcBorders>
            <w:vAlign w:val="center"/>
          </w:tcPr>
          <w:p>
            <w:pPr>
              <w:adjustRightInd w:val="0"/>
              <w:snapToGrid w:val="0"/>
              <w:jc w:val="center"/>
              <w:rPr>
                <w:b/>
                <w:bCs/>
              </w:rPr>
            </w:pPr>
            <w:r>
              <w:rPr>
                <w:rFonts w:hint="eastAsia"/>
                <w:b/>
                <w:bCs/>
              </w:rPr>
              <w:t>变化</w:t>
            </w:r>
          </w:p>
          <w:p>
            <w:pPr>
              <w:adjustRightInd w:val="0"/>
              <w:snapToGrid w:val="0"/>
              <w:jc w:val="center"/>
              <w:rPr>
                <w:b/>
                <w:bCs/>
              </w:rPr>
            </w:pPr>
            <w:r>
              <w:rPr>
                <w:rFonts w:hint="eastAsia"/>
                <w:b/>
                <w:bCs/>
              </w:rPr>
              <w:t>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tcBorders>
              <w:tl2br w:val="nil"/>
              <w:tr2bl w:val="nil"/>
            </w:tcBorders>
            <w:vAlign w:val="center"/>
          </w:tcPr>
          <w:p>
            <w:pPr>
              <w:adjustRightInd w:val="0"/>
              <w:snapToGrid w:val="0"/>
              <w:jc w:val="center"/>
              <w:rPr>
                <w:b/>
                <w:bCs/>
              </w:rPr>
            </w:pPr>
            <w:r>
              <w:rPr>
                <w:b/>
                <w:bCs/>
              </w:rPr>
              <w:t>工程</w:t>
            </w:r>
          </w:p>
          <w:p>
            <w:pPr>
              <w:adjustRightInd w:val="0"/>
              <w:snapToGrid w:val="0"/>
              <w:jc w:val="center"/>
              <w:rPr>
                <w:b/>
                <w:bCs/>
              </w:rPr>
            </w:pPr>
            <w:r>
              <w:rPr>
                <w:b/>
                <w:bCs/>
              </w:rPr>
              <w:t>类别</w:t>
            </w:r>
          </w:p>
        </w:tc>
        <w:tc>
          <w:tcPr>
            <w:tcW w:w="1429" w:type="dxa"/>
            <w:gridSpan w:val="3"/>
            <w:tcBorders>
              <w:tl2br w:val="nil"/>
              <w:tr2bl w:val="nil"/>
            </w:tcBorders>
            <w:vAlign w:val="center"/>
          </w:tcPr>
          <w:p>
            <w:pPr>
              <w:adjustRightInd w:val="0"/>
              <w:snapToGrid w:val="0"/>
              <w:jc w:val="center"/>
              <w:rPr>
                <w:b/>
                <w:bCs/>
              </w:rPr>
            </w:pPr>
            <w:r>
              <w:rPr>
                <w:b/>
                <w:bCs/>
              </w:rPr>
              <w:t>工程名称</w:t>
            </w:r>
          </w:p>
        </w:tc>
        <w:tc>
          <w:tcPr>
            <w:tcW w:w="4878" w:type="dxa"/>
            <w:tcBorders>
              <w:tl2br w:val="nil"/>
              <w:tr2bl w:val="nil"/>
            </w:tcBorders>
            <w:vAlign w:val="center"/>
          </w:tcPr>
          <w:p>
            <w:pPr>
              <w:adjustRightInd w:val="0"/>
              <w:snapToGrid w:val="0"/>
              <w:jc w:val="center"/>
              <w:rPr>
                <w:b/>
                <w:bCs/>
              </w:rPr>
            </w:pPr>
            <w:r>
              <w:rPr>
                <w:b/>
                <w:bCs/>
              </w:rPr>
              <w:t>工程内容</w:t>
            </w:r>
          </w:p>
        </w:tc>
        <w:tc>
          <w:tcPr>
            <w:tcW w:w="1188" w:type="dxa"/>
            <w:tcBorders>
              <w:tl2br w:val="nil"/>
              <w:tr2bl w:val="nil"/>
            </w:tcBorders>
            <w:vAlign w:val="center"/>
          </w:tcPr>
          <w:p>
            <w:pPr>
              <w:adjustRightInd w:val="0"/>
              <w:snapToGrid w:val="0"/>
              <w:jc w:val="center"/>
              <w:rPr>
                <w:b/>
                <w:bCs/>
              </w:rPr>
            </w:pPr>
            <w:r>
              <w:rPr>
                <w:rFonts w:hint="eastAsia"/>
                <w:b/>
                <w:bCs/>
              </w:rPr>
              <w:t>备注</w:t>
            </w:r>
          </w:p>
        </w:tc>
        <w:tc>
          <w:tcPr>
            <w:tcW w:w="5150" w:type="dxa"/>
            <w:vMerge w:val="continue"/>
            <w:tcBorders>
              <w:tl2br w:val="nil"/>
              <w:tr2bl w:val="nil"/>
            </w:tcBorders>
            <w:vAlign w:val="center"/>
          </w:tcPr>
          <w:p>
            <w:pPr>
              <w:adjustRightInd w:val="0"/>
              <w:snapToGrid w:val="0"/>
              <w:jc w:val="center"/>
            </w:pPr>
          </w:p>
        </w:tc>
        <w:tc>
          <w:tcPr>
            <w:tcW w:w="945" w:type="dxa"/>
            <w:vMerge w:val="continue"/>
            <w:tcBorders>
              <w:tl2br w:val="nil"/>
              <w:tr2bl w:val="nil"/>
            </w:tcBorders>
            <w:vAlign w:val="center"/>
          </w:tcPr>
          <w:p>
            <w:pPr>
              <w:adjustRightInd w:val="0"/>
              <w:snapToGrid w:val="0"/>
              <w:jc w:val="cente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restart"/>
            <w:tcBorders>
              <w:tl2br w:val="nil"/>
              <w:tr2bl w:val="nil"/>
            </w:tcBorders>
            <w:vAlign w:val="center"/>
          </w:tcPr>
          <w:p>
            <w:pPr>
              <w:adjustRightInd w:val="0"/>
              <w:snapToGrid w:val="0"/>
              <w:jc w:val="center"/>
            </w:pPr>
            <w:r>
              <w:t>主体</w:t>
            </w:r>
          </w:p>
          <w:p>
            <w:pPr>
              <w:adjustRightInd w:val="0"/>
              <w:snapToGrid w:val="0"/>
              <w:jc w:val="center"/>
            </w:pPr>
            <w:r>
              <w:t>工程</w:t>
            </w:r>
          </w:p>
        </w:tc>
        <w:tc>
          <w:tcPr>
            <w:tcW w:w="1429" w:type="dxa"/>
            <w:gridSpan w:val="3"/>
            <w:tcBorders>
              <w:tl2br w:val="nil"/>
              <w:tr2bl w:val="nil"/>
            </w:tcBorders>
            <w:vAlign w:val="center"/>
          </w:tcPr>
          <w:p>
            <w:pPr>
              <w:jc w:val="center"/>
            </w:pPr>
            <w:r>
              <w:rPr>
                <w:rFonts w:hint="eastAsia"/>
              </w:rPr>
              <w:t>氯化石蜡三装置</w:t>
            </w:r>
          </w:p>
        </w:tc>
        <w:tc>
          <w:tcPr>
            <w:tcW w:w="4878" w:type="dxa"/>
            <w:tcBorders>
              <w:tl2br w:val="nil"/>
              <w:tr2bl w:val="nil"/>
            </w:tcBorders>
            <w:vAlign w:val="center"/>
          </w:tcPr>
          <w:p>
            <w:pPr>
              <w:jc w:val="left"/>
            </w:pPr>
            <w:r>
              <w:rPr>
                <w:rFonts w:hint="eastAsia"/>
              </w:rPr>
              <w:t>年产5万吨氯化石蜡、副产8.5万吨盐酸（31%）及1400 吨次氯酸钠溶液（有效氯 10%），占地面积1039.5m</w:t>
            </w:r>
            <w:r>
              <w:rPr>
                <w:rFonts w:hint="eastAsia"/>
                <w:vertAlign w:val="superscript"/>
              </w:rPr>
              <w:t>2</w:t>
            </w:r>
            <w:r>
              <w:rPr>
                <w:rFonts w:hint="eastAsia"/>
              </w:rPr>
              <w:t>。</w:t>
            </w:r>
          </w:p>
        </w:tc>
        <w:tc>
          <w:tcPr>
            <w:tcW w:w="1188" w:type="dxa"/>
            <w:tcBorders>
              <w:tl2br w:val="nil"/>
              <w:tr2bl w:val="nil"/>
            </w:tcBorders>
            <w:vAlign w:val="center"/>
          </w:tcPr>
          <w:p>
            <w:pPr>
              <w:jc w:val="center"/>
            </w:pPr>
            <w:r>
              <w:rPr>
                <w:rFonts w:hint="eastAsia"/>
              </w:rPr>
              <w:t>新建，一期</w:t>
            </w:r>
          </w:p>
        </w:tc>
        <w:tc>
          <w:tcPr>
            <w:tcW w:w="5150" w:type="dxa"/>
            <w:tcBorders>
              <w:tl2br w:val="nil"/>
              <w:tr2bl w:val="nil"/>
            </w:tcBorders>
            <w:vAlign w:val="center"/>
          </w:tcPr>
          <w:p>
            <w:pPr>
              <w:jc w:val="left"/>
            </w:pPr>
            <w:r>
              <w:rPr>
                <w:rFonts w:hint="eastAsia"/>
              </w:rPr>
              <w:t>年产5万吨氯化石蜡、副产8.5万吨盐酸（31%）及1400 吨次氯酸钠溶液（有效氯 10%），占地面积1039.5m</w:t>
            </w:r>
            <w:r>
              <w:rPr>
                <w:rFonts w:hint="eastAsia"/>
                <w:vertAlign w:val="superscript"/>
              </w:rPr>
              <w:t>2</w:t>
            </w:r>
            <w:r>
              <w:rPr>
                <w:rFonts w:hint="eastAsia"/>
              </w:rPr>
              <w:t>。</w:t>
            </w:r>
          </w:p>
        </w:tc>
        <w:tc>
          <w:tcPr>
            <w:tcW w:w="945" w:type="dxa"/>
            <w:tcBorders>
              <w:tl2br w:val="nil"/>
              <w:tr2bl w:val="nil"/>
            </w:tcBorders>
            <w:vAlign w:val="center"/>
          </w:tcPr>
          <w:p>
            <w:pPr>
              <w:jc w:val="left"/>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pPr>
          </w:p>
        </w:tc>
        <w:tc>
          <w:tcPr>
            <w:tcW w:w="1429" w:type="dxa"/>
            <w:gridSpan w:val="3"/>
            <w:tcBorders>
              <w:tl2br w:val="nil"/>
              <w:tr2bl w:val="nil"/>
            </w:tcBorders>
            <w:vAlign w:val="center"/>
          </w:tcPr>
          <w:p>
            <w:pPr>
              <w:jc w:val="center"/>
            </w:pPr>
            <w:r>
              <w:rPr>
                <w:rFonts w:hint="eastAsia"/>
              </w:rPr>
              <w:t>氯化石蜡四装置</w:t>
            </w:r>
          </w:p>
        </w:tc>
        <w:tc>
          <w:tcPr>
            <w:tcW w:w="4878" w:type="dxa"/>
            <w:tcBorders>
              <w:tl2br w:val="nil"/>
              <w:tr2bl w:val="nil"/>
            </w:tcBorders>
            <w:vAlign w:val="center"/>
          </w:tcPr>
          <w:p>
            <w:pPr>
              <w:adjustRightInd w:val="0"/>
              <w:snapToGrid w:val="0"/>
              <w:jc w:val="left"/>
            </w:pPr>
            <w:r>
              <w:rPr>
                <w:rFonts w:hint="eastAsia"/>
              </w:rPr>
              <w:t>年产5万吨氯化石蜡、副产8.5万吨盐酸（31%）及1400 吨次氯酸钠溶液（有效氯 10%），占地面积1039.5m</w:t>
            </w:r>
            <w:r>
              <w:rPr>
                <w:rFonts w:hint="eastAsia"/>
                <w:vertAlign w:val="superscript"/>
              </w:rPr>
              <w:t>2</w:t>
            </w:r>
            <w:r>
              <w:rPr>
                <w:rFonts w:hint="eastAsia"/>
              </w:rPr>
              <w:t>。</w:t>
            </w:r>
          </w:p>
        </w:tc>
        <w:tc>
          <w:tcPr>
            <w:tcW w:w="1188" w:type="dxa"/>
            <w:tcBorders>
              <w:tl2br w:val="nil"/>
              <w:tr2bl w:val="nil"/>
            </w:tcBorders>
            <w:vAlign w:val="center"/>
          </w:tcPr>
          <w:p>
            <w:pPr>
              <w:adjustRightInd w:val="0"/>
              <w:snapToGrid w:val="0"/>
              <w:jc w:val="center"/>
            </w:pPr>
            <w:r>
              <w:rPr>
                <w:rFonts w:hint="eastAsia"/>
              </w:rPr>
              <w:t>新建，二期</w:t>
            </w:r>
          </w:p>
        </w:tc>
        <w:tc>
          <w:tcPr>
            <w:tcW w:w="5150" w:type="dxa"/>
            <w:tcBorders>
              <w:tl2br w:val="nil"/>
              <w:tr2bl w:val="nil"/>
            </w:tcBorders>
            <w:vAlign w:val="center"/>
          </w:tcPr>
          <w:p>
            <w:pPr>
              <w:adjustRightInd w:val="0"/>
              <w:snapToGrid w:val="0"/>
              <w:jc w:val="left"/>
            </w:pPr>
            <w:r>
              <w:rPr>
                <w:rFonts w:hint="eastAsia"/>
              </w:rPr>
              <w:t>年产5万吨氯化石蜡、副产8.5万吨盐酸（31%）及1400 吨次氯酸钠溶液（有效氯 10%），占地面积1039.5m</w:t>
            </w:r>
            <w:r>
              <w:rPr>
                <w:rFonts w:hint="eastAsia"/>
                <w:vertAlign w:val="superscript"/>
              </w:rPr>
              <w:t>2</w:t>
            </w:r>
            <w:r>
              <w:rPr>
                <w:rFonts w:hint="eastAsia"/>
              </w:rPr>
              <w:t>。</w:t>
            </w:r>
          </w:p>
        </w:tc>
        <w:tc>
          <w:tcPr>
            <w:tcW w:w="945" w:type="dxa"/>
            <w:tcBorders>
              <w:tl2br w:val="nil"/>
              <w:tr2bl w:val="nil"/>
            </w:tcBorders>
            <w:vAlign w:val="center"/>
          </w:tcPr>
          <w:p>
            <w:pPr>
              <w:adjustRightInd w:val="0"/>
              <w:snapToGrid w:val="0"/>
              <w:jc w:val="left"/>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pPr>
          </w:p>
        </w:tc>
        <w:tc>
          <w:tcPr>
            <w:tcW w:w="1429" w:type="dxa"/>
            <w:gridSpan w:val="3"/>
            <w:vMerge w:val="restart"/>
            <w:tcBorders>
              <w:tl2br w:val="nil"/>
              <w:tr2bl w:val="nil"/>
            </w:tcBorders>
            <w:vAlign w:val="center"/>
          </w:tcPr>
          <w:p>
            <w:pPr>
              <w:jc w:val="center"/>
            </w:pPr>
            <w:r>
              <w:rPr>
                <w:rFonts w:hint="eastAsia"/>
              </w:rPr>
              <w:t>氯气缓冲及事故氯吸收装置</w:t>
            </w:r>
          </w:p>
          <w:p>
            <w:pPr>
              <w:adjustRightInd w:val="0"/>
              <w:snapToGrid w:val="0"/>
              <w:jc w:val="center"/>
            </w:pPr>
          </w:p>
        </w:tc>
        <w:tc>
          <w:tcPr>
            <w:tcW w:w="4878" w:type="dxa"/>
            <w:tcBorders>
              <w:tl2br w:val="nil"/>
              <w:tr2bl w:val="nil"/>
            </w:tcBorders>
            <w:vAlign w:val="center"/>
          </w:tcPr>
          <w:p>
            <w:pPr>
              <w:adjustRightInd w:val="0"/>
              <w:snapToGrid w:val="0"/>
              <w:jc w:val="left"/>
            </w:pPr>
            <w:r>
              <w:rPr>
                <w:rFonts w:hint="eastAsia"/>
              </w:rPr>
              <w:t>氯气缓冲罐 1 台、热水罐 1 台。</w:t>
            </w:r>
          </w:p>
        </w:tc>
        <w:tc>
          <w:tcPr>
            <w:tcW w:w="1188" w:type="dxa"/>
            <w:vMerge w:val="restart"/>
            <w:tcBorders>
              <w:tl2br w:val="nil"/>
              <w:tr2bl w:val="nil"/>
            </w:tcBorders>
            <w:vAlign w:val="center"/>
          </w:tcPr>
          <w:p>
            <w:pPr>
              <w:adjustRightInd w:val="0"/>
              <w:snapToGrid w:val="0"/>
              <w:jc w:val="center"/>
            </w:pPr>
            <w:r>
              <w:rPr>
                <w:rFonts w:hint="eastAsia"/>
              </w:rPr>
              <w:t>新建，一期</w:t>
            </w:r>
          </w:p>
        </w:tc>
        <w:tc>
          <w:tcPr>
            <w:tcW w:w="5150" w:type="dxa"/>
            <w:tcBorders>
              <w:tl2br w:val="nil"/>
              <w:tr2bl w:val="nil"/>
            </w:tcBorders>
            <w:vAlign w:val="center"/>
          </w:tcPr>
          <w:p>
            <w:pPr>
              <w:adjustRightInd w:val="0"/>
              <w:snapToGrid w:val="0"/>
              <w:jc w:val="left"/>
            </w:pPr>
            <w:r>
              <w:rPr>
                <w:rFonts w:hint="eastAsia"/>
              </w:rPr>
              <w:t>氯气缓冲罐 1 台、热水罐 1 台。</w:t>
            </w:r>
          </w:p>
        </w:tc>
        <w:tc>
          <w:tcPr>
            <w:tcW w:w="945" w:type="dxa"/>
            <w:tcBorders>
              <w:tl2br w:val="nil"/>
              <w:tr2bl w:val="nil"/>
            </w:tcBorders>
            <w:vAlign w:val="center"/>
          </w:tcPr>
          <w:p>
            <w:pPr>
              <w:adjustRightInd w:val="0"/>
              <w:snapToGrid w:val="0"/>
              <w:jc w:val="left"/>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pPr>
          </w:p>
        </w:tc>
        <w:tc>
          <w:tcPr>
            <w:tcW w:w="1429" w:type="dxa"/>
            <w:gridSpan w:val="3"/>
            <w:vMerge w:val="continue"/>
            <w:tcBorders>
              <w:tl2br w:val="nil"/>
              <w:tr2bl w:val="nil"/>
            </w:tcBorders>
            <w:vAlign w:val="center"/>
          </w:tcPr>
          <w:p>
            <w:pPr>
              <w:adjustRightInd w:val="0"/>
              <w:snapToGrid w:val="0"/>
              <w:jc w:val="center"/>
            </w:pPr>
          </w:p>
        </w:tc>
        <w:tc>
          <w:tcPr>
            <w:tcW w:w="4878" w:type="dxa"/>
            <w:tcBorders>
              <w:tl2br w:val="nil"/>
              <w:tr2bl w:val="nil"/>
            </w:tcBorders>
            <w:vAlign w:val="center"/>
          </w:tcPr>
          <w:p>
            <w:pPr>
              <w:adjustRightInd w:val="0"/>
              <w:snapToGrid w:val="0"/>
              <w:jc w:val="left"/>
            </w:pPr>
            <w:r>
              <w:rPr>
                <w:rFonts w:hint="eastAsia"/>
              </w:rPr>
              <w:t>事故氯吸收装置：依托佰润新材料一级吸收塔、二级吸收塔。</w:t>
            </w:r>
          </w:p>
        </w:tc>
        <w:tc>
          <w:tcPr>
            <w:tcW w:w="1188" w:type="dxa"/>
            <w:vMerge w:val="continue"/>
            <w:tcBorders>
              <w:tl2br w:val="nil"/>
              <w:tr2bl w:val="nil"/>
            </w:tcBorders>
            <w:vAlign w:val="center"/>
          </w:tcPr>
          <w:p>
            <w:pPr>
              <w:jc w:val="center"/>
            </w:pPr>
          </w:p>
        </w:tc>
        <w:tc>
          <w:tcPr>
            <w:tcW w:w="5150" w:type="dxa"/>
            <w:tcBorders>
              <w:tl2br w:val="nil"/>
              <w:tr2bl w:val="nil"/>
            </w:tcBorders>
            <w:vAlign w:val="center"/>
          </w:tcPr>
          <w:p>
            <w:pPr>
              <w:adjustRightInd w:val="0"/>
              <w:snapToGrid w:val="0"/>
              <w:jc w:val="left"/>
            </w:pPr>
            <w:r>
              <w:rPr>
                <w:rFonts w:hint="eastAsia"/>
              </w:rPr>
              <w:t>事故氯吸收装置：依托佰润新材料一级吸收塔、二级吸收塔。</w:t>
            </w:r>
          </w:p>
        </w:tc>
        <w:tc>
          <w:tcPr>
            <w:tcW w:w="945" w:type="dxa"/>
            <w:tcBorders>
              <w:tl2br w:val="nil"/>
              <w:tr2bl w:val="nil"/>
            </w:tcBorders>
            <w:vAlign w:val="center"/>
          </w:tcPr>
          <w:p>
            <w:pPr>
              <w:adjustRightInd w:val="0"/>
              <w:snapToGrid w:val="0"/>
              <w:jc w:val="left"/>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pPr>
          </w:p>
        </w:tc>
        <w:tc>
          <w:tcPr>
            <w:tcW w:w="1429" w:type="dxa"/>
            <w:gridSpan w:val="3"/>
            <w:vMerge w:val="restart"/>
            <w:tcBorders>
              <w:tl2br w:val="nil"/>
              <w:tr2bl w:val="nil"/>
            </w:tcBorders>
            <w:vAlign w:val="center"/>
          </w:tcPr>
          <w:p>
            <w:pPr>
              <w:jc w:val="center"/>
            </w:pPr>
            <w:r>
              <w:rPr>
                <w:rFonts w:hint="eastAsia"/>
              </w:rPr>
              <w:t>生产尾气吸收装置</w:t>
            </w:r>
          </w:p>
          <w:p>
            <w:pPr>
              <w:adjustRightInd w:val="0"/>
              <w:snapToGrid w:val="0"/>
              <w:jc w:val="center"/>
            </w:pPr>
          </w:p>
        </w:tc>
        <w:tc>
          <w:tcPr>
            <w:tcW w:w="4878" w:type="dxa"/>
            <w:tcBorders>
              <w:tl2br w:val="nil"/>
              <w:tr2bl w:val="nil"/>
            </w:tcBorders>
            <w:vAlign w:val="center"/>
          </w:tcPr>
          <w:p>
            <w:pPr>
              <w:adjustRightInd w:val="0"/>
              <w:snapToGrid w:val="0"/>
              <w:jc w:val="left"/>
            </w:pPr>
            <w:r>
              <w:rPr>
                <w:rFonts w:hint="eastAsia"/>
              </w:rPr>
              <w:t>DN1200×13000（H）型吸收塔 2 台。</w:t>
            </w:r>
          </w:p>
        </w:tc>
        <w:tc>
          <w:tcPr>
            <w:tcW w:w="1188" w:type="dxa"/>
            <w:vMerge w:val="restart"/>
            <w:tcBorders>
              <w:tl2br w:val="nil"/>
              <w:tr2bl w:val="nil"/>
            </w:tcBorders>
            <w:vAlign w:val="center"/>
          </w:tcPr>
          <w:p>
            <w:pPr>
              <w:adjustRightInd w:val="0"/>
              <w:snapToGrid w:val="0"/>
              <w:jc w:val="center"/>
            </w:pPr>
            <w:r>
              <w:rPr>
                <w:rFonts w:hint="eastAsia"/>
              </w:rPr>
              <w:t>新建，一期</w:t>
            </w:r>
          </w:p>
        </w:tc>
        <w:tc>
          <w:tcPr>
            <w:tcW w:w="5150" w:type="dxa"/>
            <w:tcBorders>
              <w:tl2br w:val="nil"/>
              <w:tr2bl w:val="nil"/>
            </w:tcBorders>
            <w:vAlign w:val="center"/>
          </w:tcPr>
          <w:p>
            <w:pPr>
              <w:adjustRightInd w:val="0"/>
              <w:snapToGrid w:val="0"/>
              <w:jc w:val="left"/>
            </w:pPr>
            <w:r>
              <w:rPr>
                <w:rFonts w:hint="eastAsia"/>
              </w:rPr>
              <w:t>DN1200×13000（H）型吸收塔 2 台。</w:t>
            </w:r>
          </w:p>
        </w:tc>
        <w:tc>
          <w:tcPr>
            <w:tcW w:w="945" w:type="dxa"/>
            <w:tcBorders>
              <w:tl2br w:val="nil"/>
              <w:tr2bl w:val="nil"/>
            </w:tcBorders>
            <w:vAlign w:val="center"/>
          </w:tcPr>
          <w:p>
            <w:pPr>
              <w:adjustRightInd w:val="0"/>
              <w:snapToGrid w:val="0"/>
              <w:jc w:val="left"/>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pPr>
          </w:p>
        </w:tc>
        <w:tc>
          <w:tcPr>
            <w:tcW w:w="1429" w:type="dxa"/>
            <w:gridSpan w:val="3"/>
            <w:vMerge w:val="continue"/>
            <w:tcBorders>
              <w:tl2br w:val="nil"/>
              <w:tr2bl w:val="nil"/>
            </w:tcBorders>
            <w:vAlign w:val="center"/>
          </w:tcPr>
          <w:p>
            <w:pPr>
              <w:adjustRightInd w:val="0"/>
              <w:snapToGrid w:val="0"/>
              <w:jc w:val="center"/>
            </w:pPr>
          </w:p>
        </w:tc>
        <w:tc>
          <w:tcPr>
            <w:tcW w:w="4878" w:type="dxa"/>
            <w:tcBorders>
              <w:tl2br w:val="nil"/>
              <w:tr2bl w:val="nil"/>
            </w:tcBorders>
            <w:vAlign w:val="center"/>
          </w:tcPr>
          <w:p>
            <w:pPr>
              <w:tabs>
                <w:tab w:val="left" w:pos="955"/>
              </w:tabs>
              <w:adjustRightInd w:val="0"/>
              <w:snapToGrid w:val="0"/>
              <w:jc w:val="left"/>
            </w:pPr>
            <w:r>
              <w:rPr>
                <w:rFonts w:hint="eastAsia"/>
              </w:rPr>
              <w:t>DN1200×13000（H）型吸收塔 2 台。</w:t>
            </w:r>
          </w:p>
        </w:tc>
        <w:tc>
          <w:tcPr>
            <w:tcW w:w="1188" w:type="dxa"/>
            <w:vMerge w:val="continue"/>
            <w:tcBorders>
              <w:tl2br w:val="nil"/>
              <w:tr2bl w:val="nil"/>
            </w:tcBorders>
            <w:vAlign w:val="center"/>
          </w:tcPr>
          <w:p>
            <w:pPr>
              <w:jc w:val="center"/>
            </w:pPr>
          </w:p>
        </w:tc>
        <w:tc>
          <w:tcPr>
            <w:tcW w:w="5150" w:type="dxa"/>
            <w:tcBorders>
              <w:tl2br w:val="nil"/>
              <w:tr2bl w:val="nil"/>
            </w:tcBorders>
            <w:vAlign w:val="center"/>
          </w:tcPr>
          <w:p>
            <w:pPr>
              <w:tabs>
                <w:tab w:val="left" w:pos="955"/>
              </w:tabs>
              <w:adjustRightInd w:val="0"/>
              <w:snapToGrid w:val="0"/>
              <w:jc w:val="left"/>
            </w:pPr>
            <w:r>
              <w:rPr>
                <w:rFonts w:hint="eastAsia"/>
              </w:rPr>
              <w:t>DN1200×13000（H）型吸收塔 2 台。</w:t>
            </w:r>
          </w:p>
        </w:tc>
        <w:tc>
          <w:tcPr>
            <w:tcW w:w="945" w:type="dxa"/>
            <w:tcBorders>
              <w:tl2br w:val="nil"/>
              <w:tr2bl w:val="nil"/>
            </w:tcBorders>
            <w:vAlign w:val="center"/>
          </w:tcPr>
          <w:p>
            <w:pPr>
              <w:adjustRightInd w:val="0"/>
              <w:snapToGrid w:val="0"/>
              <w:jc w:val="left"/>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tcBorders>
              <w:tl2br w:val="nil"/>
              <w:tr2bl w:val="nil"/>
            </w:tcBorders>
            <w:vAlign w:val="center"/>
          </w:tcPr>
          <w:p>
            <w:pPr>
              <w:adjustRightInd w:val="0"/>
              <w:snapToGrid w:val="0"/>
              <w:jc w:val="center"/>
            </w:pPr>
            <w:r>
              <w:rPr>
                <w:rFonts w:hint="eastAsia"/>
              </w:rPr>
              <w:t>辅助工程</w:t>
            </w:r>
          </w:p>
        </w:tc>
        <w:tc>
          <w:tcPr>
            <w:tcW w:w="1429" w:type="dxa"/>
            <w:gridSpan w:val="3"/>
            <w:tcBorders>
              <w:tl2br w:val="nil"/>
              <w:tr2bl w:val="nil"/>
            </w:tcBorders>
            <w:vAlign w:val="center"/>
          </w:tcPr>
          <w:p>
            <w:pPr>
              <w:jc w:val="center"/>
            </w:pPr>
            <w:r>
              <w:rPr>
                <w:rFonts w:hint="eastAsia"/>
              </w:rPr>
              <w:t xml:space="preserve">中转泵房 </w:t>
            </w:r>
          </w:p>
        </w:tc>
        <w:tc>
          <w:tcPr>
            <w:tcW w:w="4878" w:type="dxa"/>
            <w:tcBorders>
              <w:tl2br w:val="nil"/>
              <w:tr2bl w:val="nil"/>
            </w:tcBorders>
            <w:vAlign w:val="center"/>
          </w:tcPr>
          <w:p>
            <w:pPr>
              <w:adjustRightInd w:val="0"/>
              <w:snapToGrid w:val="0"/>
              <w:jc w:val="left"/>
              <w:rPr>
                <w:color w:val="000000"/>
              </w:rPr>
            </w:pPr>
            <w:r>
              <w:rPr>
                <w:rFonts w:hint="eastAsia"/>
              </w:rPr>
              <w:t>1座，占地面积90m</w:t>
            </w:r>
            <w:r>
              <w:rPr>
                <w:rFonts w:hint="eastAsia"/>
                <w:vertAlign w:val="superscript"/>
              </w:rPr>
              <w:t>2</w:t>
            </w:r>
            <w:r>
              <w:rPr>
                <w:rFonts w:hint="eastAsia"/>
              </w:rPr>
              <w:t>，1层</w:t>
            </w:r>
          </w:p>
        </w:tc>
        <w:tc>
          <w:tcPr>
            <w:tcW w:w="1188" w:type="dxa"/>
            <w:tcBorders>
              <w:tl2br w:val="nil"/>
              <w:tr2bl w:val="nil"/>
            </w:tcBorders>
            <w:vAlign w:val="center"/>
          </w:tcPr>
          <w:p>
            <w:pPr>
              <w:contextualSpacing/>
              <w:jc w:val="center"/>
              <w:rPr>
                <w:color w:val="000000"/>
              </w:rPr>
            </w:pPr>
            <w:r>
              <w:rPr>
                <w:rFonts w:hint="eastAsia"/>
              </w:rPr>
              <w:t>新建</w:t>
            </w:r>
          </w:p>
        </w:tc>
        <w:tc>
          <w:tcPr>
            <w:tcW w:w="5150" w:type="dxa"/>
            <w:tcBorders>
              <w:tl2br w:val="nil"/>
              <w:tr2bl w:val="nil"/>
            </w:tcBorders>
            <w:vAlign w:val="center"/>
          </w:tcPr>
          <w:p>
            <w:pPr>
              <w:jc w:val="left"/>
            </w:pPr>
            <w:r>
              <w:rPr>
                <w:rFonts w:hint="eastAsia"/>
              </w:rPr>
              <w:t>1座，占地面积90m</w:t>
            </w:r>
            <w:r>
              <w:rPr>
                <w:rFonts w:hint="eastAsia"/>
                <w:vertAlign w:val="superscript"/>
              </w:rPr>
              <w:t>2</w:t>
            </w:r>
            <w:r>
              <w:rPr>
                <w:rFonts w:hint="eastAsia"/>
              </w:rPr>
              <w:t>，1层</w:t>
            </w:r>
          </w:p>
        </w:tc>
        <w:tc>
          <w:tcPr>
            <w:tcW w:w="945" w:type="dxa"/>
            <w:tcBorders>
              <w:tl2br w:val="nil"/>
              <w:tr2bl w:val="nil"/>
            </w:tcBorders>
            <w:vAlign w:val="center"/>
          </w:tcPr>
          <w:p>
            <w:pPr>
              <w:jc w:val="cente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restart"/>
            <w:tcBorders>
              <w:tl2br w:val="nil"/>
              <w:tr2bl w:val="nil"/>
            </w:tcBorders>
            <w:vAlign w:val="center"/>
          </w:tcPr>
          <w:p>
            <w:pPr>
              <w:spacing w:line="340" w:lineRule="exact"/>
              <w:jc w:val="center"/>
            </w:pPr>
            <w:r>
              <w:t>公用</w:t>
            </w:r>
          </w:p>
          <w:p>
            <w:pPr>
              <w:adjustRightInd w:val="0"/>
              <w:snapToGrid w:val="0"/>
              <w:jc w:val="center"/>
            </w:pPr>
            <w:r>
              <w:t>工程</w:t>
            </w:r>
          </w:p>
        </w:tc>
        <w:tc>
          <w:tcPr>
            <w:tcW w:w="499" w:type="dxa"/>
            <w:vMerge w:val="restart"/>
            <w:tcBorders>
              <w:right w:val="single" w:color="000000" w:sz="12" w:space="0"/>
              <w:tl2br w:val="nil"/>
              <w:tr2bl w:val="nil"/>
            </w:tcBorders>
            <w:vAlign w:val="center"/>
          </w:tcPr>
          <w:p>
            <w:pPr>
              <w:adjustRightInd w:val="0"/>
              <w:snapToGrid w:val="0"/>
              <w:jc w:val="center"/>
            </w:pPr>
            <w:r>
              <w:rPr>
                <w:rFonts w:hint="eastAsia"/>
              </w:rPr>
              <w:t>供水系统</w:t>
            </w:r>
          </w:p>
        </w:tc>
        <w:tc>
          <w:tcPr>
            <w:tcW w:w="930" w:type="dxa"/>
            <w:gridSpan w:val="2"/>
            <w:tcBorders>
              <w:left w:val="single" w:color="000000" w:sz="12" w:space="0"/>
              <w:tl2br w:val="nil"/>
              <w:tr2bl w:val="nil"/>
            </w:tcBorders>
            <w:vAlign w:val="center"/>
          </w:tcPr>
          <w:p>
            <w:pPr>
              <w:adjustRightInd w:val="0"/>
              <w:snapToGrid w:val="0"/>
              <w:jc w:val="center"/>
            </w:pPr>
            <w:r>
              <w:rPr>
                <w:rFonts w:hint="eastAsia"/>
              </w:rPr>
              <w:t>新鲜水</w:t>
            </w:r>
          </w:p>
        </w:tc>
        <w:tc>
          <w:tcPr>
            <w:tcW w:w="4878" w:type="dxa"/>
            <w:tcBorders>
              <w:tl2br w:val="nil"/>
              <w:tr2bl w:val="nil"/>
            </w:tcBorders>
            <w:vAlign w:val="center"/>
          </w:tcPr>
          <w:p>
            <w:pPr>
              <w:adjustRightInd w:val="0"/>
              <w:snapToGrid w:val="0"/>
              <w:jc w:val="left"/>
              <w:rPr>
                <w:color w:val="000000"/>
              </w:rPr>
            </w:pPr>
            <w:r>
              <w:rPr>
                <w:rFonts w:hint="eastAsia"/>
              </w:rPr>
              <w:t>由寿光市侯镇化工产业园供水管网提供，厂区西侧现有一条南北向DN400供水管网，接入DN125支管，供水压力0.4MPa，供水能力120m</w:t>
            </w:r>
            <w:r>
              <w:rPr>
                <w:rFonts w:hint="eastAsia"/>
                <w:vertAlign w:val="superscript"/>
              </w:rPr>
              <w:t>3</w:t>
            </w:r>
            <w:r>
              <w:rPr>
                <w:rFonts w:hint="eastAsia"/>
                <w:vertAlign w:val="baseline"/>
                <w:lang w:val="en-US" w:eastAsia="zh-CN"/>
              </w:rPr>
              <w:t>/</w:t>
            </w:r>
            <w:r>
              <w:rPr>
                <w:rFonts w:hint="eastAsia"/>
              </w:rPr>
              <w:t>h。</w:t>
            </w:r>
          </w:p>
        </w:tc>
        <w:tc>
          <w:tcPr>
            <w:tcW w:w="1188" w:type="dxa"/>
            <w:tcBorders>
              <w:tl2br w:val="nil"/>
              <w:tr2bl w:val="nil"/>
            </w:tcBorders>
            <w:vAlign w:val="center"/>
          </w:tcPr>
          <w:p>
            <w:pPr>
              <w:contextualSpacing/>
              <w:jc w:val="center"/>
              <w:rPr>
                <w:color w:val="000000"/>
              </w:rPr>
            </w:pPr>
            <w:r>
              <w:t>依托</w:t>
            </w:r>
            <w:r>
              <w:rPr>
                <w:rFonts w:hint="eastAsia"/>
              </w:rPr>
              <w:t>现有</w:t>
            </w:r>
          </w:p>
        </w:tc>
        <w:tc>
          <w:tcPr>
            <w:tcW w:w="5150" w:type="dxa"/>
            <w:tcBorders>
              <w:tl2br w:val="nil"/>
              <w:tr2bl w:val="nil"/>
            </w:tcBorders>
            <w:vAlign w:val="center"/>
          </w:tcPr>
          <w:p>
            <w:pPr>
              <w:adjustRightInd w:val="0"/>
              <w:snapToGrid w:val="0"/>
              <w:jc w:val="left"/>
            </w:pPr>
            <w:r>
              <w:rPr>
                <w:rFonts w:hint="eastAsia"/>
              </w:rPr>
              <w:t>由寿光市侯镇化工产业园供水管网提供，厂区西侧现有一条南北向DN400供水管网，接入DN125支管，供水压力0.4MPa，供水能力120m</w:t>
            </w:r>
            <w:r>
              <w:rPr>
                <w:rFonts w:hint="eastAsia"/>
                <w:vertAlign w:val="superscript"/>
              </w:rPr>
              <w:t>3</w:t>
            </w:r>
            <w:r>
              <w:rPr>
                <w:rFonts w:hint="eastAsia"/>
                <w:vertAlign w:val="baseline"/>
                <w:lang w:val="en-US" w:eastAsia="zh-CN"/>
              </w:rPr>
              <w:t>/</w:t>
            </w:r>
            <w:r>
              <w:rPr>
                <w:rFonts w:hint="eastAsia"/>
              </w:rPr>
              <w:t>h。</w:t>
            </w:r>
          </w:p>
        </w:tc>
        <w:tc>
          <w:tcPr>
            <w:tcW w:w="945" w:type="dxa"/>
            <w:tcBorders>
              <w:tl2br w:val="nil"/>
              <w:tr2bl w:val="nil"/>
            </w:tcBorders>
            <w:vAlign w:val="center"/>
          </w:tcPr>
          <w:p>
            <w:pPr>
              <w:jc w:val="cente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754" w:type="dxa"/>
            <w:vMerge w:val="continue"/>
            <w:tcBorders>
              <w:tl2br w:val="nil"/>
              <w:tr2bl w:val="nil"/>
            </w:tcBorders>
            <w:vAlign w:val="center"/>
          </w:tcPr>
          <w:p>
            <w:pPr>
              <w:adjustRightInd w:val="0"/>
              <w:snapToGrid w:val="0"/>
              <w:jc w:val="center"/>
            </w:pPr>
          </w:p>
        </w:tc>
        <w:tc>
          <w:tcPr>
            <w:tcW w:w="499" w:type="dxa"/>
            <w:vMerge w:val="continue"/>
            <w:tcBorders>
              <w:right w:val="single" w:color="000000" w:sz="12" w:space="0"/>
              <w:tl2br w:val="nil"/>
              <w:tr2bl w:val="nil"/>
            </w:tcBorders>
            <w:vAlign w:val="center"/>
          </w:tcPr>
          <w:p>
            <w:pPr>
              <w:adjustRightInd w:val="0"/>
              <w:snapToGrid w:val="0"/>
              <w:jc w:val="center"/>
            </w:pPr>
          </w:p>
        </w:tc>
        <w:tc>
          <w:tcPr>
            <w:tcW w:w="930" w:type="dxa"/>
            <w:gridSpan w:val="2"/>
            <w:tcBorders>
              <w:left w:val="single" w:color="000000" w:sz="12" w:space="0"/>
              <w:tl2br w:val="nil"/>
              <w:tr2bl w:val="nil"/>
            </w:tcBorders>
            <w:vAlign w:val="center"/>
          </w:tcPr>
          <w:p>
            <w:pPr>
              <w:adjustRightInd w:val="0"/>
              <w:snapToGrid w:val="0"/>
              <w:jc w:val="center"/>
            </w:pPr>
            <w:r>
              <w:rPr>
                <w:rFonts w:hint="eastAsia"/>
              </w:rPr>
              <w:t>无离子水</w:t>
            </w:r>
          </w:p>
        </w:tc>
        <w:tc>
          <w:tcPr>
            <w:tcW w:w="4878" w:type="dxa"/>
            <w:tcBorders>
              <w:tl2br w:val="nil"/>
              <w:tr2bl w:val="nil"/>
            </w:tcBorders>
            <w:vAlign w:val="center"/>
          </w:tcPr>
          <w:p>
            <w:pPr>
              <w:adjustRightInd w:val="0"/>
              <w:snapToGrid w:val="0"/>
              <w:jc w:val="left"/>
            </w:pPr>
            <w:r>
              <w:rPr>
                <w:rFonts w:hint="eastAsia"/>
              </w:rPr>
              <w:t>由山东昊邦化学有限公司提供，无离子水生产能力800m</w:t>
            </w:r>
            <w:r>
              <w:rPr>
                <w:rFonts w:hint="eastAsia"/>
                <w:vertAlign w:val="superscript"/>
              </w:rPr>
              <w:t>3</w:t>
            </w:r>
            <w:r>
              <w:rPr>
                <w:rFonts w:hint="eastAsia"/>
              </w:rPr>
              <w:t>/h.</w:t>
            </w:r>
          </w:p>
        </w:tc>
        <w:tc>
          <w:tcPr>
            <w:tcW w:w="1188" w:type="dxa"/>
            <w:tcBorders>
              <w:tl2br w:val="nil"/>
              <w:tr2bl w:val="nil"/>
            </w:tcBorders>
            <w:vAlign w:val="center"/>
          </w:tcPr>
          <w:p>
            <w:pPr>
              <w:adjustRightInd w:val="0"/>
              <w:snapToGrid w:val="0"/>
              <w:jc w:val="center"/>
            </w:pPr>
            <w:r>
              <w:t>依托</w:t>
            </w:r>
            <w:r>
              <w:rPr>
                <w:rFonts w:hint="eastAsia"/>
              </w:rPr>
              <w:t>现有</w:t>
            </w:r>
          </w:p>
        </w:tc>
        <w:tc>
          <w:tcPr>
            <w:tcW w:w="5150" w:type="dxa"/>
            <w:tcBorders>
              <w:tl2br w:val="nil"/>
              <w:tr2bl w:val="nil"/>
            </w:tcBorders>
            <w:vAlign w:val="center"/>
          </w:tcPr>
          <w:p>
            <w:pPr>
              <w:adjustRightInd w:val="0"/>
              <w:snapToGrid w:val="0"/>
              <w:jc w:val="left"/>
            </w:pPr>
            <w:r>
              <w:rPr>
                <w:rFonts w:hint="eastAsia"/>
              </w:rPr>
              <w:t>由山东昊邦化学有限公司提供，无离子水生产能力800m</w:t>
            </w:r>
            <w:r>
              <w:rPr>
                <w:rFonts w:hint="eastAsia"/>
                <w:vertAlign w:val="superscript"/>
              </w:rPr>
              <w:t>3</w:t>
            </w:r>
            <w:r>
              <w:rPr>
                <w:rFonts w:hint="eastAsia"/>
              </w:rPr>
              <w:t>/h.</w:t>
            </w:r>
          </w:p>
        </w:tc>
        <w:tc>
          <w:tcPr>
            <w:tcW w:w="945" w:type="dxa"/>
            <w:tcBorders>
              <w:tl2br w:val="nil"/>
              <w:tr2bl w:val="nil"/>
            </w:tcBorders>
            <w:vAlign w:val="center"/>
          </w:tcPr>
          <w:p>
            <w:pPr>
              <w:contextualSpacing/>
              <w:jc w:val="center"/>
              <w:rPr>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pPr>
          </w:p>
        </w:tc>
        <w:tc>
          <w:tcPr>
            <w:tcW w:w="499" w:type="dxa"/>
            <w:vMerge w:val="continue"/>
            <w:tcBorders>
              <w:right w:val="single" w:color="000000" w:sz="12" w:space="0"/>
              <w:tl2br w:val="nil"/>
              <w:tr2bl w:val="nil"/>
            </w:tcBorders>
            <w:vAlign w:val="center"/>
          </w:tcPr>
          <w:p>
            <w:pPr>
              <w:adjustRightInd w:val="0"/>
              <w:snapToGrid w:val="0"/>
              <w:jc w:val="center"/>
            </w:pPr>
          </w:p>
        </w:tc>
        <w:tc>
          <w:tcPr>
            <w:tcW w:w="930" w:type="dxa"/>
            <w:gridSpan w:val="2"/>
            <w:tcBorders>
              <w:left w:val="single" w:color="000000" w:sz="12" w:space="0"/>
              <w:tl2br w:val="nil"/>
              <w:tr2bl w:val="nil"/>
            </w:tcBorders>
            <w:vAlign w:val="center"/>
          </w:tcPr>
          <w:p>
            <w:pPr>
              <w:adjustRightInd w:val="0"/>
              <w:snapToGrid w:val="0"/>
              <w:jc w:val="center"/>
            </w:pPr>
            <w:r>
              <w:rPr>
                <w:rFonts w:hint="eastAsia"/>
              </w:rPr>
              <w:t>循环水</w:t>
            </w:r>
          </w:p>
        </w:tc>
        <w:tc>
          <w:tcPr>
            <w:tcW w:w="4878" w:type="dxa"/>
            <w:tcBorders>
              <w:tl2br w:val="nil"/>
              <w:tr2bl w:val="nil"/>
            </w:tcBorders>
            <w:vAlign w:val="center"/>
          </w:tcPr>
          <w:p>
            <w:pPr>
              <w:adjustRightInd w:val="0"/>
              <w:snapToGrid w:val="0"/>
              <w:jc w:val="left"/>
            </w:pPr>
            <w:r>
              <w:rPr>
                <w:rFonts w:hint="eastAsia"/>
              </w:rPr>
              <w:t>由山东泰普新能源有限公司提供，5000m</w:t>
            </w:r>
            <w:r>
              <w:rPr>
                <w:rFonts w:hint="eastAsia"/>
                <w:vertAlign w:val="superscript"/>
              </w:rPr>
              <w:t>3</w:t>
            </w:r>
            <w:r>
              <w:rPr>
                <w:rFonts w:hint="eastAsia"/>
                <w:vertAlign w:val="superscript"/>
                <w:lang w:val="en-US" w:eastAsia="zh-CN"/>
              </w:rPr>
              <w:t>/</w:t>
            </w:r>
            <w:r>
              <w:rPr>
                <w:rFonts w:hint="eastAsia"/>
              </w:rPr>
              <w:t>h双曲线冷却塔1台（供佰润新材现有装置和本项目使用）。</w:t>
            </w:r>
          </w:p>
        </w:tc>
        <w:tc>
          <w:tcPr>
            <w:tcW w:w="1188" w:type="dxa"/>
            <w:tcBorders>
              <w:tl2br w:val="nil"/>
              <w:tr2bl w:val="nil"/>
            </w:tcBorders>
            <w:vAlign w:val="center"/>
          </w:tcPr>
          <w:p>
            <w:pPr>
              <w:adjustRightInd w:val="0"/>
              <w:snapToGrid w:val="0"/>
              <w:jc w:val="center"/>
            </w:pPr>
            <w:r>
              <w:t>依托</w:t>
            </w:r>
            <w:r>
              <w:rPr>
                <w:rFonts w:hint="eastAsia"/>
              </w:rPr>
              <w:t>现有</w:t>
            </w:r>
          </w:p>
        </w:tc>
        <w:tc>
          <w:tcPr>
            <w:tcW w:w="5150" w:type="dxa"/>
            <w:tcBorders>
              <w:tl2br w:val="nil"/>
              <w:tr2bl w:val="nil"/>
            </w:tcBorders>
            <w:vAlign w:val="center"/>
          </w:tcPr>
          <w:p>
            <w:pPr>
              <w:adjustRightInd w:val="0"/>
              <w:snapToGrid w:val="0"/>
              <w:jc w:val="left"/>
            </w:pPr>
            <w:r>
              <w:rPr>
                <w:rFonts w:hint="eastAsia"/>
              </w:rPr>
              <w:t>由山东泰普新能源有限公司提供，5000m</w:t>
            </w:r>
            <w:r>
              <w:rPr>
                <w:rFonts w:hint="eastAsia"/>
                <w:vertAlign w:val="superscript"/>
              </w:rPr>
              <w:t>3</w:t>
            </w:r>
            <w:r>
              <w:rPr>
                <w:rFonts w:hint="eastAsia"/>
                <w:vertAlign w:val="superscript"/>
                <w:lang w:val="en-US" w:eastAsia="zh-CN"/>
              </w:rPr>
              <w:t>/</w:t>
            </w:r>
            <w:r>
              <w:rPr>
                <w:rFonts w:hint="eastAsia"/>
              </w:rPr>
              <w:t>h双曲线冷却塔1台（供佰润新材现有装置和本项目使用）。</w:t>
            </w:r>
          </w:p>
        </w:tc>
        <w:tc>
          <w:tcPr>
            <w:tcW w:w="945" w:type="dxa"/>
            <w:tcBorders>
              <w:tl2br w:val="nil"/>
              <w:tr2bl w:val="nil"/>
            </w:tcBorders>
            <w:vAlign w:val="center"/>
          </w:tcPr>
          <w:p>
            <w:pPr>
              <w:contextualSpacing/>
              <w:jc w:val="cente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rPr>
                <w:b/>
              </w:rPr>
            </w:pPr>
          </w:p>
        </w:tc>
        <w:tc>
          <w:tcPr>
            <w:tcW w:w="1429" w:type="dxa"/>
            <w:gridSpan w:val="3"/>
            <w:tcBorders>
              <w:tl2br w:val="nil"/>
              <w:tr2bl w:val="nil"/>
            </w:tcBorders>
            <w:vAlign w:val="center"/>
          </w:tcPr>
          <w:p>
            <w:pPr>
              <w:adjustRightInd w:val="0"/>
              <w:snapToGrid w:val="0"/>
              <w:jc w:val="center"/>
            </w:pPr>
            <w:r>
              <w:rPr>
                <w:rFonts w:hint="eastAsia"/>
              </w:rPr>
              <w:t>供电系统</w:t>
            </w:r>
          </w:p>
        </w:tc>
        <w:tc>
          <w:tcPr>
            <w:tcW w:w="4878" w:type="dxa"/>
            <w:tcBorders>
              <w:tl2br w:val="nil"/>
              <w:tr2bl w:val="nil"/>
            </w:tcBorders>
            <w:vAlign w:val="center"/>
          </w:tcPr>
          <w:p>
            <w:pPr>
              <w:adjustRightInd w:val="0"/>
              <w:snapToGrid w:val="0"/>
              <w:jc w:val="left"/>
            </w:pPr>
            <w:r>
              <w:rPr>
                <w:rFonts w:hint="eastAsia"/>
              </w:rPr>
              <w:t>正常用电：供电电源来自寿光侯镇化工产业园岔东站。备用电源：供电电源来自山东泰普新能源有限公司。配电室：依托厂内现有变配电室1座，占地面积443.76m</w:t>
            </w:r>
            <w:r>
              <w:rPr>
                <w:rFonts w:hint="eastAsia"/>
                <w:vertAlign w:val="superscript"/>
              </w:rPr>
              <w:t>2</w:t>
            </w:r>
            <w:r>
              <w:rPr>
                <w:rFonts w:hint="eastAsia"/>
              </w:rPr>
              <w:t>，现有SCB10-1000</w:t>
            </w:r>
            <w:r>
              <w:rPr>
                <w:rFonts w:hint="eastAsia"/>
                <w:lang w:val="en-US" w:eastAsia="zh-CN"/>
              </w:rPr>
              <w:t>/</w:t>
            </w:r>
            <w:r>
              <w:rPr>
                <w:rFonts w:hint="eastAsia"/>
              </w:rPr>
              <w:t>10型干式变压器2台．新增SCB10-1000</w:t>
            </w:r>
            <w:r>
              <w:rPr>
                <w:rFonts w:hint="eastAsia"/>
                <w:lang w:val="en-US" w:eastAsia="zh-CN"/>
              </w:rPr>
              <w:t>/</w:t>
            </w:r>
            <w:r>
              <w:rPr>
                <w:rFonts w:hint="eastAsia"/>
              </w:rPr>
              <w:t>10型干式变压器1台。</w:t>
            </w:r>
          </w:p>
        </w:tc>
        <w:tc>
          <w:tcPr>
            <w:tcW w:w="1188" w:type="dxa"/>
            <w:tcBorders>
              <w:tl2br w:val="nil"/>
              <w:tr2bl w:val="nil"/>
            </w:tcBorders>
            <w:vAlign w:val="center"/>
          </w:tcPr>
          <w:p>
            <w:pPr>
              <w:jc w:val="center"/>
            </w:pPr>
            <w:r>
              <w:t>依托</w:t>
            </w:r>
            <w:r>
              <w:rPr>
                <w:rFonts w:hint="eastAsia"/>
              </w:rPr>
              <w:t>现有+新建</w:t>
            </w:r>
          </w:p>
        </w:tc>
        <w:tc>
          <w:tcPr>
            <w:tcW w:w="5150" w:type="dxa"/>
            <w:tcBorders>
              <w:tl2br w:val="nil"/>
              <w:tr2bl w:val="nil"/>
            </w:tcBorders>
            <w:vAlign w:val="center"/>
          </w:tcPr>
          <w:p>
            <w:pPr>
              <w:adjustRightInd w:val="0"/>
              <w:snapToGrid w:val="0"/>
              <w:jc w:val="left"/>
            </w:pPr>
            <w:r>
              <w:rPr>
                <w:rFonts w:hint="eastAsia"/>
              </w:rPr>
              <w:t>正常用电：供电电源来自寿光侯镇化工产业园岔东站。备用电源：供电电源来自山东泰普新能源有限公司。配电室：依托厂内现有变配电室1座，占地面积443.76m</w:t>
            </w:r>
            <w:r>
              <w:rPr>
                <w:rFonts w:hint="eastAsia"/>
                <w:vertAlign w:val="superscript"/>
              </w:rPr>
              <w:t>2</w:t>
            </w:r>
            <w:r>
              <w:rPr>
                <w:rFonts w:hint="eastAsia"/>
              </w:rPr>
              <w:t>，现有SCB10-1000</w:t>
            </w:r>
            <w:r>
              <w:rPr>
                <w:rFonts w:hint="eastAsia"/>
                <w:lang w:val="en-US" w:eastAsia="zh-CN"/>
              </w:rPr>
              <w:t>/</w:t>
            </w:r>
            <w:r>
              <w:rPr>
                <w:rFonts w:hint="eastAsia"/>
              </w:rPr>
              <w:t>10型干式变压器2台．新增SCB10-1000</w:t>
            </w:r>
            <w:r>
              <w:rPr>
                <w:rFonts w:hint="eastAsia"/>
                <w:lang w:val="en-US" w:eastAsia="zh-CN"/>
              </w:rPr>
              <w:t>/</w:t>
            </w:r>
            <w:r>
              <w:rPr>
                <w:rFonts w:hint="eastAsia"/>
              </w:rPr>
              <w:t>10型干式变压器1台。</w:t>
            </w:r>
          </w:p>
        </w:tc>
        <w:tc>
          <w:tcPr>
            <w:tcW w:w="945" w:type="dxa"/>
            <w:tcBorders>
              <w:tl2br w:val="nil"/>
              <w:tr2bl w:val="nil"/>
            </w:tcBorders>
            <w:vAlign w:val="center"/>
          </w:tcPr>
          <w:p>
            <w:pPr>
              <w:contextualSpacing/>
              <w:jc w:val="center"/>
              <w:rPr>
                <w:bCs/>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rPr>
                <w:b/>
              </w:rPr>
            </w:pPr>
          </w:p>
        </w:tc>
        <w:tc>
          <w:tcPr>
            <w:tcW w:w="1429" w:type="dxa"/>
            <w:gridSpan w:val="3"/>
            <w:tcBorders>
              <w:tl2br w:val="nil"/>
              <w:tr2bl w:val="nil"/>
            </w:tcBorders>
            <w:vAlign w:val="center"/>
          </w:tcPr>
          <w:p>
            <w:pPr>
              <w:adjustRightInd w:val="0"/>
              <w:snapToGrid w:val="0"/>
              <w:jc w:val="center"/>
            </w:pPr>
            <w:r>
              <w:rPr>
                <w:rFonts w:hint="eastAsia"/>
              </w:rPr>
              <w:t>供汽系统</w:t>
            </w:r>
          </w:p>
        </w:tc>
        <w:tc>
          <w:tcPr>
            <w:tcW w:w="4878" w:type="dxa"/>
            <w:tcBorders>
              <w:tl2br w:val="nil"/>
              <w:tr2bl w:val="nil"/>
            </w:tcBorders>
            <w:vAlign w:val="center"/>
          </w:tcPr>
          <w:p>
            <w:pPr>
              <w:adjustRightInd w:val="0"/>
              <w:snapToGrid w:val="0"/>
              <w:jc w:val="left"/>
            </w:pPr>
            <w:r>
              <w:rPr>
                <w:rFonts w:hint="eastAsia"/>
              </w:rPr>
              <w:t>由山东泰普新能源有限公司提供，供汽总管径DN250，供汽压力0.6MPa，供汽能力20t</w:t>
            </w:r>
            <w:r>
              <w:rPr>
                <w:rFonts w:hint="eastAsia"/>
                <w:lang w:val="en-US" w:eastAsia="zh-CN"/>
              </w:rPr>
              <w:t>/</w:t>
            </w:r>
            <w:r>
              <w:rPr>
                <w:rFonts w:hint="eastAsia"/>
              </w:rPr>
              <w:t>h。</w:t>
            </w:r>
          </w:p>
        </w:tc>
        <w:tc>
          <w:tcPr>
            <w:tcW w:w="1188" w:type="dxa"/>
            <w:tcBorders>
              <w:tl2br w:val="nil"/>
              <w:tr2bl w:val="nil"/>
            </w:tcBorders>
            <w:vAlign w:val="center"/>
          </w:tcPr>
          <w:p>
            <w:pPr>
              <w:jc w:val="center"/>
            </w:pPr>
            <w:r>
              <w:t>依托</w:t>
            </w:r>
            <w:r>
              <w:rPr>
                <w:rFonts w:hint="eastAsia"/>
              </w:rPr>
              <w:t>现有</w:t>
            </w:r>
          </w:p>
        </w:tc>
        <w:tc>
          <w:tcPr>
            <w:tcW w:w="5150" w:type="dxa"/>
            <w:tcBorders>
              <w:tl2br w:val="nil"/>
              <w:tr2bl w:val="nil"/>
            </w:tcBorders>
            <w:vAlign w:val="center"/>
          </w:tcPr>
          <w:p>
            <w:pPr>
              <w:adjustRightInd w:val="0"/>
              <w:snapToGrid w:val="0"/>
              <w:jc w:val="left"/>
              <w:rPr>
                <w:bCs/>
                <w:kern w:val="0"/>
              </w:rPr>
            </w:pPr>
            <w:r>
              <w:rPr>
                <w:rFonts w:hint="eastAsia"/>
              </w:rPr>
              <w:t>由山东泰普新能源有限公司提供，供汽总管径DN250，供汽压力0.6MPa，供汽能力20t</w:t>
            </w:r>
            <w:r>
              <w:rPr>
                <w:rFonts w:hint="eastAsia"/>
                <w:lang w:val="en-US" w:eastAsia="zh-CN"/>
              </w:rPr>
              <w:t>/</w:t>
            </w:r>
            <w:r>
              <w:rPr>
                <w:rFonts w:hint="eastAsia"/>
              </w:rPr>
              <w:t>h。</w:t>
            </w:r>
          </w:p>
        </w:tc>
        <w:tc>
          <w:tcPr>
            <w:tcW w:w="945" w:type="dxa"/>
            <w:tcBorders>
              <w:tl2br w:val="nil"/>
              <w:tr2bl w:val="nil"/>
            </w:tcBorders>
            <w:vAlign w:val="center"/>
          </w:tcPr>
          <w:p>
            <w:pPr>
              <w:contextualSpacing/>
              <w:jc w:val="center"/>
              <w:rPr>
                <w:bCs/>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rPr>
                <w:b/>
              </w:rPr>
            </w:pPr>
          </w:p>
        </w:tc>
        <w:tc>
          <w:tcPr>
            <w:tcW w:w="1429" w:type="dxa"/>
            <w:gridSpan w:val="3"/>
            <w:tcBorders>
              <w:tl2br w:val="nil"/>
              <w:tr2bl w:val="nil"/>
            </w:tcBorders>
            <w:vAlign w:val="center"/>
          </w:tcPr>
          <w:p>
            <w:pPr>
              <w:adjustRightInd w:val="0"/>
              <w:snapToGrid w:val="0"/>
              <w:jc w:val="center"/>
            </w:pPr>
            <w:r>
              <w:rPr>
                <w:rFonts w:hint="eastAsia"/>
              </w:rPr>
              <w:t>压缩空气</w:t>
            </w:r>
          </w:p>
        </w:tc>
        <w:tc>
          <w:tcPr>
            <w:tcW w:w="4878" w:type="dxa"/>
            <w:tcBorders>
              <w:tl2br w:val="nil"/>
              <w:tr2bl w:val="nil"/>
            </w:tcBorders>
            <w:vAlign w:val="center"/>
          </w:tcPr>
          <w:p>
            <w:pPr>
              <w:adjustRightInd w:val="0"/>
              <w:snapToGrid w:val="0"/>
              <w:jc w:val="left"/>
            </w:pPr>
            <w:r>
              <w:rPr>
                <w:rFonts w:hint="eastAsia"/>
              </w:rPr>
              <w:t>由佰润新材提供，现有QGD280-8型空压机2台（单</w:t>
            </w:r>
          </w:p>
          <w:p>
            <w:pPr>
              <w:adjustRightInd w:val="0"/>
              <w:snapToGrid w:val="0"/>
              <w:jc w:val="left"/>
            </w:pPr>
            <w:r>
              <w:rPr>
                <w:rFonts w:hint="eastAsia"/>
              </w:rPr>
              <w:t>台供气量：3000Nm</w:t>
            </w:r>
            <w:r>
              <w:rPr>
                <w:rFonts w:hint="eastAsia"/>
                <w:vertAlign w:val="superscript"/>
                <w:lang w:val="en-US" w:eastAsia="zh-CN"/>
              </w:rPr>
              <w:t>3</w:t>
            </w:r>
            <w:r>
              <w:rPr>
                <w:rFonts w:hint="eastAsia"/>
                <w:lang w:val="en-US" w:eastAsia="zh-CN"/>
              </w:rPr>
              <w:t>/</w:t>
            </w:r>
            <w:r>
              <w:rPr>
                <w:rFonts w:hint="eastAsia"/>
              </w:rPr>
              <w:t>h，供气压力：0.8MPa）。</w:t>
            </w:r>
          </w:p>
        </w:tc>
        <w:tc>
          <w:tcPr>
            <w:tcW w:w="1188" w:type="dxa"/>
            <w:tcBorders>
              <w:tl2br w:val="nil"/>
              <w:tr2bl w:val="nil"/>
            </w:tcBorders>
            <w:vAlign w:val="center"/>
          </w:tcPr>
          <w:p>
            <w:pPr>
              <w:jc w:val="center"/>
            </w:pPr>
            <w:r>
              <w:t>依托</w:t>
            </w:r>
            <w:r>
              <w:rPr>
                <w:rFonts w:hint="eastAsia"/>
              </w:rPr>
              <w:t>现有</w:t>
            </w:r>
          </w:p>
        </w:tc>
        <w:tc>
          <w:tcPr>
            <w:tcW w:w="5150" w:type="dxa"/>
            <w:tcBorders>
              <w:tl2br w:val="nil"/>
              <w:tr2bl w:val="nil"/>
            </w:tcBorders>
            <w:vAlign w:val="center"/>
          </w:tcPr>
          <w:p>
            <w:pPr>
              <w:adjustRightInd w:val="0"/>
              <w:snapToGrid w:val="0"/>
              <w:jc w:val="left"/>
            </w:pPr>
            <w:r>
              <w:rPr>
                <w:rFonts w:hint="eastAsia"/>
              </w:rPr>
              <w:t>由佰润新材提供，现有QGD280-8型空压机2台（单</w:t>
            </w:r>
          </w:p>
          <w:p>
            <w:pPr>
              <w:adjustRightInd w:val="0"/>
              <w:snapToGrid w:val="0"/>
              <w:jc w:val="left"/>
              <w:rPr>
                <w:bCs/>
                <w:kern w:val="0"/>
              </w:rPr>
            </w:pPr>
            <w:r>
              <w:rPr>
                <w:rFonts w:hint="eastAsia"/>
              </w:rPr>
              <w:t>台供气量：3000Nm</w:t>
            </w:r>
            <w:r>
              <w:rPr>
                <w:rFonts w:hint="eastAsia"/>
                <w:vertAlign w:val="superscript"/>
                <w:lang w:val="en-US" w:eastAsia="zh-CN"/>
              </w:rPr>
              <w:t>3</w:t>
            </w:r>
            <w:r>
              <w:rPr>
                <w:rFonts w:hint="eastAsia"/>
                <w:lang w:val="en-US" w:eastAsia="zh-CN"/>
              </w:rPr>
              <w:t>/</w:t>
            </w:r>
            <w:r>
              <w:rPr>
                <w:rFonts w:hint="eastAsia"/>
              </w:rPr>
              <w:t>h，供气压力：0.8MPa）。</w:t>
            </w:r>
          </w:p>
        </w:tc>
        <w:tc>
          <w:tcPr>
            <w:tcW w:w="945" w:type="dxa"/>
            <w:tcBorders>
              <w:tl2br w:val="nil"/>
              <w:tr2bl w:val="nil"/>
            </w:tcBorders>
            <w:vAlign w:val="center"/>
          </w:tcPr>
          <w:p>
            <w:pPr>
              <w:contextualSpacing/>
              <w:jc w:val="center"/>
              <w:rPr>
                <w:bCs/>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754" w:type="dxa"/>
            <w:vMerge w:val="continue"/>
            <w:tcBorders>
              <w:tl2br w:val="nil"/>
              <w:tr2bl w:val="nil"/>
            </w:tcBorders>
            <w:vAlign w:val="center"/>
          </w:tcPr>
          <w:p>
            <w:pPr>
              <w:adjustRightInd w:val="0"/>
              <w:snapToGrid w:val="0"/>
              <w:jc w:val="center"/>
              <w:rPr>
                <w:b/>
              </w:rPr>
            </w:pPr>
          </w:p>
        </w:tc>
        <w:tc>
          <w:tcPr>
            <w:tcW w:w="1429" w:type="dxa"/>
            <w:gridSpan w:val="3"/>
            <w:tcBorders>
              <w:tl2br w:val="nil"/>
              <w:tr2bl w:val="nil"/>
            </w:tcBorders>
            <w:vAlign w:val="center"/>
          </w:tcPr>
          <w:p>
            <w:pPr>
              <w:adjustRightInd w:val="0"/>
              <w:snapToGrid w:val="0"/>
              <w:jc w:val="center"/>
            </w:pPr>
            <w:r>
              <w:rPr>
                <w:rFonts w:hint="eastAsia"/>
              </w:rPr>
              <w:t>压缩氮气</w:t>
            </w:r>
          </w:p>
        </w:tc>
        <w:tc>
          <w:tcPr>
            <w:tcW w:w="4878" w:type="dxa"/>
            <w:tcBorders>
              <w:tl2br w:val="nil"/>
              <w:tr2bl w:val="nil"/>
            </w:tcBorders>
            <w:vAlign w:val="center"/>
          </w:tcPr>
          <w:p>
            <w:pPr>
              <w:adjustRightInd w:val="0"/>
              <w:snapToGrid w:val="0"/>
              <w:jc w:val="left"/>
            </w:pPr>
            <w:r>
              <w:rPr>
                <w:rFonts w:hint="eastAsia"/>
              </w:rPr>
              <w:t>由佰润新材提供，现有FDA-600-99.5型制氨机1台（供气量：600Nm</w:t>
            </w:r>
            <w:r>
              <w:rPr>
                <w:rFonts w:hint="eastAsia"/>
                <w:vertAlign w:val="superscript"/>
                <w:lang w:val="en-US" w:eastAsia="zh-CN"/>
              </w:rPr>
              <w:t>3</w:t>
            </w:r>
            <w:r>
              <w:rPr>
                <w:rFonts w:hint="eastAsia"/>
                <w:lang w:val="en-US" w:eastAsia="zh-CN"/>
              </w:rPr>
              <w:t>/</w:t>
            </w:r>
            <w:r>
              <w:rPr>
                <w:rFonts w:hint="eastAsia"/>
              </w:rPr>
              <w:t>h，供气压力：0.6MPa），21.7m</w:t>
            </w:r>
            <w:r>
              <w:rPr>
                <w:rFonts w:hint="eastAsia"/>
                <w:vertAlign w:val="superscript"/>
              </w:rPr>
              <w:t>3</w:t>
            </w:r>
            <w:r>
              <w:rPr>
                <w:rFonts w:hint="eastAsia"/>
              </w:rPr>
              <w:t>氨气缓冲罐1台。</w:t>
            </w:r>
          </w:p>
        </w:tc>
        <w:tc>
          <w:tcPr>
            <w:tcW w:w="1188" w:type="dxa"/>
            <w:tcBorders>
              <w:tl2br w:val="nil"/>
              <w:tr2bl w:val="nil"/>
            </w:tcBorders>
            <w:vAlign w:val="center"/>
          </w:tcPr>
          <w:p>
            <w:pPr>
              <w:jc w:val="center"/>
            </w:pPr>
            <w:r>
              <w:t>依托</w:t>
            </w:r>
            <w:r>
              <w:rPr>
                <w:rFonts w:hint="eastAsia"/>
              </w:rPr>
              <w:t>现有</w:t>
            </w:r>
          </w:p>
        </w:tc>
        <w:tc>
          <w:tcPr>
            <w:tcW w:w="5150" w:type="dxa"/>
            <w:tcBorders>
              <w:tl2br w:val="nil"/>
              <w:tr2bl w:val="nil"/>
            </w:tcBorders>
            <w:vAlign w:val="center"/>
          </w:tcPr>
          <w:p>
            <w:pPr>
              <w:adjustRightInd w:val="0"/>
              <w:snapToGrid w:val="0"/>
              <w:jc w:val="left"/>
              <w:rPr>
                <w:bCs/>
                <w:kern w:val="0"/>
              </w:rPr>
            </w:pPr>
            <w:r>
              <w:rPr>
                <w:rFonts w:hint="eastAsia"/>
              </w:rPr>
              <w:t>由佰润新材提供，现有FDA-600-99.5型制氨机1台（供气量：600Nm</w:t>
            </w:r>
            <w:r>
              <w:rPr>
                <w:rFonts w:hint="eastAsia"/>
                <w:vertAlign w:val="superscript"/>
                <w:lang w:val="en-US" w:eastAsia="zh-CN"/>
              </w:rPr>
              <w:t>3</w:t>
            </w:r>
            <w:r>
              <w:rPr>
                <w:rFonts w:hint="eastAsia"/>
                <w:lang w:val="en-US" w:eastAsia="zh-CN"/>
              </w:rPr>
              <w:t>/</w:t>
            </w:r>
            <w:r>
              <w:rPr>
                <w:rFonts w:hint="eastAsia"/>
              </w:rPr>
              <w:t>h，供气压力：0.6MPa），21.7m</w:t>
            </w:r>
            <w:r>
              <w:rPr>
                <w:rFonts w:hint="eastAsia"/>
                <w:vertAlign w:val="superscript"/>
              </w:rPr>
              <w:t>3</w:t>
            </w:r>
            <w:r>
              <w:rPr>
                <w:rFonts w:hint="eastAsia"/>
              </w:rPr>
              <w:t>氨气缓冲罐1台。</w:t>
            </w:r>
          </w:p>
        </w:tc>
        <w:tc>
          <w:tcPr>
            <w:tcW w:w="945" w:type="dxa"/>
            <w:tcBorders>
              <w:tl2br w:val="nil"/>
              <w:tr2bl w:val="nil"/>
            </w:tcBorders>
            <w:vAlign w:val="center"/>
          </w:tcPr>
          <w:p>
            <w:pPr>
              <w:contextualSpacing/>
              <w:jc w:val="center"/>
              <w:rPr>
                <w:bCs/>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rPr>
                <w:b/>
              </w:rPr>
            </w:pPr>
          </w:p>
        </w:tc>
        <w:tc>
          <w:tcPr>
            <w:tcW w:w="1429" w:type="dxa"/>
            <w:gridSpan w:val="3"/>
            <w:tcBorders>
              <w:tl2br w:val="nil"/>
              <w:tr2bl w:val="nil"/>
            </w:tcBorders>
            <w:vAlign w:val="center"/>
          </w:tcPr>
          <w:p>
            <w:pPr>
              <w:adjustRightInd w:val="0"/>
              <w:snapToGrid w:val="0"/>
              <w:jc w:val="center"/>
            </w:pPr>
            <w:r>
              <w:rPr>
                <w:rFonts w:hint="eastAsia"/>
              </w:rPr>
              <w:t>制冷设施</w:t>
            </w:r>
          </w:p>
        </w:tc>
        <w:tc>
          <w:tcPr>
            <w:tcW w:w="4878" w:type="dxa"/>
            <w:tcBorders>
              <w:tl2br w:val="nil"/>
              <w:tr2bl w:val="nil"/>
            </w:tcBorders>
            <w:vAlign w:val="center"/>
          </w:tcPr>
          <w:p>
            <w:pPr>
              <w:adjustRightInd w:val="0"/>
              <w:snapToGrid w:val="0"/>
              <w:jc w:val="left"/>
            </w:pPr>
            <w:r>
              <w:rPr>
                <w:rFonts w:hint="eastAsia"/>
              </w:rPr>
              <w:t>由佰润新材提供，现有YSLG8M16D3型制冷机组2台，制冷剂为氟利昂，载冷剂为氯化钙水溶液(30%)。</w:t>
            </w:r>
          </w:p>
        </w:tc>
        <w:tc>
          <w:tcPr>
            <w:tcW w:w="1188" w:type="dxa"/>
            <w:tcBorders>
              <w:tl2br w:val="nil"/>
              <w:tr2bl w:val="nil"/>
            </w:tcBorders>
            <w:vAlign w:val="center"/>
          </w:tcPr>
          <w:p>
            <w:pPr>
              <w:jc w:val="center"/>
            </w:pPr>
            <w:r>
              <w:t>依托</w:t>
            </w:r>
            <w:r>
              <w:rPr>
                <w:rFonts w:hint="eastAsia"/>
              </w:rPr>
              <w:t>现有</w:t>
            </w:r>
          </w:p>
        </w:tc>
        <w:tc>
          <w:tcPr>
            <w:tcW w:w="5150" w:type="dxa"/>
            <w:tcBorders>
              <w:tl2br w:val="nil"/>
              <w:tr2bl w:val="nil"/>
            </w:tcBorders>
            <w:vAlign w:val="center"/>
          </w:tcPr>
          <w:p>
            <w:pPr>
              <w:adjustRightInd w:val="0"/>
              <w:snapToGrid w:val="0"/>
              <w:jc w:val="left"/>
              <w:rPr>
                <w:bCs/>
                <w:kern w:val="0"/>
              </w:rPr>
            </w:pPr>
            <w:r>
              <w:rPr>
                <w:rFonts w:hint="eastAsia"/>
              </w:rPr>
              <w:t>由佰润新材提供，现有YSLG8M16D3型制冷机组2台，制冷剂为氟利昂，载冷剂为氯化钙水溶液(30%)。</w:t>
            </w:r>
          </w:p>
        </w:tc>
        <w:tc>
          <w:tcPr>
            <w:tcW w:w="945" w:type="dxa"/>
            <w:tcBorders>
              <w:tl2br w:val="nil"/>
              <w:tr2bl w:val="nil"/>
            </w:tcBorders>
            <w:vAlign w:val="center"/>
          </w:tcPr>
          <w:p>
            <w:pPr>
              <w:contextualSpacing/>
              <w:jc w:val="center"/>
              <w:rPr>
                <w:bCs/>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54" w:type="dxa"/>
            <w:vMerge w:val="continue"/>
            <w:tcBorders>
              <w:tl2br w:val="nil"/>
              <w:tr2bl w:val="nil"/>
            </w:tcBorders>
            <w:vAlign w:val="center"/>
          </w:tcPr>
          <w:p>
            <w:pPr>
              <w:adjustRightInd w:val="0"/>
              <w:snapToGrid w:val="0"/>
              <w:jc w:val="center"/>
              <w:rPr>
                <w:b/>
              </w:rPr>
            </w:pPr>
          </w:p>
        </w:tc>
        <w:tc>
          <w:tcPr>
            <w:tcW w:w="1429" w:type="dxa"/>
            <w:gridSpan w:val="3"/>
            <w:tcBorders>
              <w:tl2br w:val="nil"/>
              <w:tr2bl w:val="nil"/>
            </w:tcBorders>
            <w:vAlign w:val="center"/>
          </w:tcPr>
          <w:p>
            <w:pPr>
              <w:adjustRightInd w:val="0"/>
              <w:snapToGrid w:val="0"/>
              <w:jc w:val="center"/>
            </w:pPr>
            <w:r>
              <w:rPr>
                <w:rFonts w:hint="eastAsia"/>
              </w:rPr>
              <w:t>消防</w:t>
            </w:r>
          </w:p>
        </w:tc>
        <w:tc>
          <w:tcPr>
            <w:tcW w:w="4878" w:type="dxa"/>
            <w:tcBorders>
              <w:tl2br w:val="nil"/>
              <w:tr2bl w:val="nil"/>
            </w:tcBorders>
            <w:vAlign w:val="center"/>
          </w:tcPr>
          <w:p>
            <w:pPr>
              <w:adjustRightInd w:val="0"/>
              <w:snapToGrid w:val="0"/>
              <w:jc w:val="left"/>
              <w:rPr>
                <w:color w:val="auto"/>
              </w:rPr>
            </w:pPr>
            <w:r>
              <w:rPr>
                <w:rFonts w:hint="eastAsia"/>
                <w:color w:val="auto"/>
              </w:rPr>
              <w:t>依托佰润新材厂区西北部660</w:t>
            </w:r>
            <w:r>
              <w:rPr>
                <w:rFonts w:hint="eastAsia"/>
                <w:color w:val="auto"/>
                <w:lang w:val="en-US" w:eastAsia="zh-CN"/>
              </w:rPr>
              <w:t>m</w:t>
            </w:r>
            <w:r>
              <w:rPr>
                <w:rFonts w:hint="eastAsia"/>
                <w:color w:val="auto"/>
                <w:vertAlign w:val="superscript"/>
                <w:lang w:val="en-US" w:eastAsia="zh-CN"/>
              </w:rPr>
              <w:t>3</w:t>
            </w:r>
            <w:r>
              <w:rPr>
                <w:rFonts w:hint="eastAsia"/>
                <w:color w:val="auto"/>
              </w:rPr>
              <w:t>消防水罐2台，总容量为1320</w:t>
            </w:r>
            <w:r>
              <w:rPr>
                <w:rFonts w:hint="eastAsia"/>
                <w:color w:val="auto"/>
                <w:lang w:val="en-US" w:eastAsia="zh-CN"/>
              </w:rPr>
              <w:t>m</w:t>
            </w:r>
            <w:r>
              <w:rPr>
                <w:rFonts w:hint="eastAsia"/>
                <w:color w:val="auto"/>
                <w:vertAlign w:val="superscript"/>
                <w:lang w:val="en-US" w:eastAsia="zh-CN"/>
              </w:rPr>
              <w:t>3</w:t>
            </w:r>
            <w:r>
              <w:rPr>
                <w:rFonts w:hint="eastAsia"/>
                <w:color w:val="auto"/>
              </w:rPr>
              <w:t>。</w:t>
            </w:r>
          </w:p>
        </w:tc>
        <w:tc>
          <w:tcPr>
            <w:tcW w:w="1188" w:type="dxa"/>
            <w:tcBorders>
              <w:tl2br w:val="nil"/>
              <w:tr2bl w:val="nil"/>
            </w:tcBorders>
            <w:vAlign w:val="center"/>
          </w:tcPr>
          <w:p>
            <w:pPr>
              <w:jc w:val="center"/>
              <w:rPr>
                <w:color w:val="auto"/>
              </w:rPr>
            </w:pPr>
            <w:r>
              <w:rPr>
                <w:color w:val="auto"/>
              </w:rPr>
              <w:t>依托</w:t>
            </w:r>
            <w:r>
              <w:rPr>
                <w:rFonts w:hint="eastAsia"/>
                <w:color w:val="auto"/>
              </w:rPr>
              <w:t>现有</w:t>
            </w:r>
          </w:p>
        </w:tc>
        <w:tc>
          <w:tcPr>
            <w:tcW w:w="5150" w:type="dxa"/>
            <w:tcBorders>
              <w:tl2br w:val="nil"/>
              <w:tr2bl w:val="nil"/>
            </w:tcBorders>
            <w:vAlign w:val="center"/>
          </w:tcPr>
          <w:p>
            <w:pPr>
              <w:adjustRightInd w:val="0"/>
              <w:snapToGrid w:val="0"/>
              <w:jc w:val="left"/>
              <w:rPr>
                <w:bCs/>
                <w:color w:val="auto"/>
                <w:kern w:val="0"/>
              </w:rPr>
            </w:pPr>
            <w:r>
              <w:rPr>
                <w:rFonts w:hint="eastAsia"/>
                <w:color w:val="auto"/>
              </w:rPr>
              <w:t>依托佰润新材厂区西北部660</w:t>
            </w:r>
            <w:r>
              <w:rPr>
                <w:rFonts w:hint="eastAsia"/>
                <w:color w:val="auto"/>
                <w:lang w:val="en-US" w:eastAsia="zh-CN"/>
              </w:rPr>
              <w:t>m</w:t>
            </w:r>
            <w:r>
              <w:rPr>
                <w:rFonts w:hint="eastAsia"/>
                <w:color w:val="auto"/>
                <w:vertAlign w:val="superscript"/>
                <w:lang w:val="en-US" w:eastAsia="zh-CN"/>
              </w:rPr>
              <w:t>3</w:t>
            </w:r>
            <w:r>
              <w:rPr>
                <w:rFonts w:hint="eastAsia"/>
                <w:color w:val="auto"/>
              </w:rPr>
              <w:t>消防水罐2台，总容量为1320</w:t>
            </w:r>
            <w:r>
              <w:rPr>
                <w:rFonts w:hint="eastAsia"/>
                <w:color w:val="auto"/>
                <w:lang w:val="en-US" w:eastAsia="zh-CN"/>
              </w:rPr>
              <w:t>m</w:t>
            </w:r>
            <w:r>
              <w:rPr>
                <w:rFonts w:hint="eastAsia"/>
                <w:color w:val="auto"/>
                <w:vertAlign w:val="superscript"/>
                <w:lang w:val="en-US" w:eastAsia="zh-CN"/>
              </w:rPr>
              <w:t>3</w:t>
            </w:r>
            <w:r>
              <w:rPr>
                <w:rFonts w:hint="eastAsia"/>
                <w:color w:val="auto"/>
              </w:rPr>
              <w:t>。</w:t>
            </w:r>
          </w:p>
        </w:tc>
        <w:tc>
          <w:tcPr>
            <w:tcW w:w="945" w:type="dxa"/>
            <w:tcBorders>
              <w:tl2br w:val="nil"/>
              <w:tr2bl w:val="nil"/>
            </w:tcBorders>
            <w:vAlign w:val="center"/>
          </w:tcPr>
          <w:p>
            <w:pPr>
              <w:contextualSpacing/>
              <w:jc w:val="center"/>
              <w:rPr>
                <w:bCs/>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restart"/>
            <w:tcBorders>
              <w:tl2br w:val="nil"/>
              <w:tr2bl w:val="nil"/>
            </w:tcBorders>
            <w:vAlign w:val="center"/>
          </w:tcPr>
          <w:p>
            <w:pPr>
              <w:spacing w:line="340" w:lineRule="exact"/>
              <w:jc w:val="center"/>
            </w:pPr>
            <w:r>
              <w:t>储运</w:t>
            </w:r>
          </w:p>
          <w:p>
            <w:pPr>
              <w:adjustRightInd w:val="0"/>
              <w:snapToGrid w:val="0"/>
              <w:jc w:val="center"/>
            </w:pPr>
            <w:r>
              <w:t>工程</w:t>
            </w:r>
          </w:p>
        </w:tc>
        <w:tc>
          <w:tcPr>
            <w:tcW w:w="1429" w:type="dxa"/>
            <w:gridSpan w:val="3"/>
            <w:vMerge w:val="restart"/>
            <w:tcBorders>
              <w:tl2br w:val="nil"/>
              <w:tr2bl w:val="nil"/>
            </w:tcBorders>
            <w:vAlign w:val="center"/>
          </w:tcPr>
          <w:p>
            <w:pPr>
              <w:adjustRightInd w:val="0"/>
              <w:snapToGrid w:val="0"/>
              <w:jc w:val="center"/>
            </w:pPr>
            <w:r>
              <w:rPr>
                <w:rFonts w:hint="eastAsia"/>
              </w:rPr>
              <w:t>原料罐区</w:t>
            </w:r>
          </w:p>
          <w:p>
            <w:pPr>
              <w:adjustRightInd w:val="0"/>
              <w:snapToGrid w:val="0"/>
              <w:jc w:val="center"/>
            </w:pPr>
          </w:p>
        </w:tc>
        <w:tc>
          <w:tcPr>
            <w:tcW w:w="4878" w:type="dxa"/>
            <w:tcBorders>
              <w:tl2br w:val="nil"/>
              <w:tr2bl w:val="nil"/>
            </w:tcBorders>
            <w:vAlign w:val="center"/>
          </w:tcPr>
          <w:p>
            <w:pPr>
              <w:adjustRightInd w:val="0"/>
              <w:snapToGrid w:val="0"/>
              <w:jc w:val="left"/>
              <w:rPr>
                <w:color w:val="auto"/>
              </w:rPr>
            </w:pPr>
            <w:r>
              <w:rPr>
                <w:color w:val="auto"/>
              </w:rPr>
              <w:t>602</w:t>
            </w:r>
            <w:r>
              <w:rPr>
                <w:rFonts w:hint="eastAsia"/>
                <w:color w:val="auto"/>
                <w:lang w:val="en-US" w:eastAsia="zh-CN"/>
              </w:rPr>
              <w:t>m</w:t>
            </w:r>
            <w:r>
              <w:rPr>
                <w:rFonts w:hint="eastAsia"/>
                <w:color w:val="auto"/>
                <w:vertAlign w:val="superscript"/>
                <w:lang w:val="en-US" w:eastAsia="zh-CN"/>
              </w:rPr>
              <w:t>3</w:t>
            </w:r>
            <w:r>
              <w:rPr>
                <w:color w:val="auto"/>
              </w:rPr>
              <w:t>液蜡储罐3台</w:t>
            </w:r>
            <w:r>
              <w:rPr>
                <w:rFonts w:hint="eastAsia"/>
                <w:color w:val="auto"/>
              </w:rPr>
              <w:t>。</w:t>
            </w:r>
          </w:p>
        </w:tc>
        <w:tc>
          <w:tcPr>
            <w:tcW w:w="1188" w:type="dxa"/>
            <w:vMerge w:val="restart"/>
            <w:tcBorders>
              <w:tl2br w:val="nil"/>
              <w:tr2bl w:val="nil"/>
            </w:tcBorders>
            <w:vAlign w:val="center"/>
          </w:tcPr>
          <w:p>
            <w:pPr>
              <w:adjustRightInd w:val="0"/>
              <w:snapToGrid w:val="0"/>
              <w:jc w:val="center"/>
              <w:rPr>
                <w:color w:val="auto"/>
              </w:rPr>
            </w:pPr>
            <w:r>
              <w:rPr>
                <w:rFonts w:hint="eastAsia"/>
                <w:color w:val="auto"/>
              </w:rPr>
              <w:t>新建，一期，自佰润新材厂区现有原料罐区向北侧扩建。</w:t>
            </w:r>
          </w:p>
        </w:tc>
        <w:tc>
          <w:tcPr>
            <w:tcW w:w="5150" w:type="dxa"/>
            <w:tcBorders>
              <w:tl2br w:val="nil"/>
              <w:tr2bl w:val="nil"/>
            </w:tcBorders>
            <w:vAlign w:val="center"/>
          </w:tcPr>
          <w:p>
            <w:pPr>
              <w:adjustRightInd w:val="0"/>
              <w:snapToGrid w:val="0"/>
              <w:jc w:val="left"/>
              <w:rPr>
                <w:color w:val="auto"/>
              </w:rPr>
            </w:pPr>
            <w:r>
              <w:rPr>
                <w:color w:val="auto"/>
              </w:rPr>
              <w:t>602</w:t>
            </w:r>
            <w:r>
              <w:rPr>
                <w:rFonts w:hint="eastAsia"/>
                <w:color w:val="auto"/>
                <w:lang w:val="en-US" w:eastAsia="zh-CN"/>
              </w:rPr>
              <w:t>m</w:t>
            </w:r>
            <w:r>
              <w:rPr>
                <w:rFonts w:hint="eastAsia"/>
                <w:color w:val="auto"/>
                <w:vertAlign w:val="superscript"/>
                <w:lang w:val="en-US" w:eastAsia="zh-CN"/>
              </w:rPr>
              <w:t>3</w:t>
            </w:r>
            <w:r>
              <w:rPr>
                <w:color w:val="auto"/>
              </w:rPr>
              <w:t>液蜡储罐3台</w:t>
            </w:r>
            <w:r>
              <w:rPr>
                <w:rFonts w:hint="eastAsia"/>
                <w:color w:val="auto"/>
              </w:rPr>
              <w:t>。</w:t>
            </w:r>
          </w:p>
        </w:tc>
        <w:tc>
          <w:tcPr>
            <w:tcW w:w="945" w:type="dxa"/>
            <w:tcBorders>
              <w:tl2br w:val="nil"/>
              <w:tr2bl w:val="nil"/>
            </w:tcBorders>
            <w:vAlign w:val="center"/>
          </w:tcPr>
          <w:p>
            <w:pPr>
              <w:adjustRightInd w:val="0"/>
              <w:snapToGrid w:val="0"/>
              <w:jc w:val="cente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rPr>
                <w:b/>
              </w:rPr>
            </w:pPr>
          </w:p>
        </w:tc>
        <w:tc>
          <w:tcPr>
            <w:tcW w:w="1429" w:type="dxa"/>
            <w:gridSpan w:val="3"/>
            <w:vMerge w:val="continue"/>
            <w:tcBorders>
              <w:tl2br w:val="nil"/>
              <w:tr2bl w:val="nil"/>
            </w:tcBorders>
            <w:vAlign w:val="center"/>
          </w:tcPr>
          <w:p>
            <w:pPr>
              <w:adjustRightInd w:val="0"/>
              <w:snapToGrid w:val="0"/>
              <w:jc w:val="center"/>
            </w:pPr>
          </w:p>
        </w:tc>
        <w:tc>
          <w:tcPr>
            <w:tcW w:w="4878" w:type="dxa"/>
            <w:tcBorders>
              <w:tl2br w:val="nil"/>
              <w:tr2bl w:val="nil"/>
            </w:tcBorders>
            <w:vAlign w:val="center"/>
          </w:tcPr>
          <w:p>
            <w:pPr>
              <w:adjustRightInd w:val="0"/>
              <w:snapToGrid w:val="0"/>
              <w:jc w:val="left"/>
            </w:pPr>
            <w:r>
              <w:t>602</w:t>
            </w:r>
            <w:r>
              <w:rPr>
                <w:rFonts w:hint="eastAsia"/>
                <w:color w:val="auto"/>
                <w:lang w:val="en-US" w:eastAsia="zh-CN"/>
              </w:rPr>
              <w:t>m</w:t>
            </w:r>
            <w:r>
              <w:rPr>
                <w:rFonts w:hint="eastAsia"/>
                <w:color w:val="auto"/>
                <w:vertAlign w:val="superscript"/>
                <w:lang w:val="en-US" w:eastAsia="zh-CN"/>
              </w:rPr>
              <w:t>3</w:t>
            </w:r>
            <w:r>
              <w:t>液蜡配料罐4台。</w:t>
            </w:r>
          </w:p>
        </w:tc>
        <w:tc>
          <w:tcPr>
            <w:tcW w:w="1188" w:type="dxa"/>
            <w:vMerge w:val="continue"/>
            <w:tcBorders>
              <w:tl2br w:val="nil"/>
              <w:tr2bl w:val="nil"/>
            </w:tcBorders>
            <w:vAlign w:val="center"/>
          </w:tcPr>
          <w:p>
            <w:pPr>
              <w:adjustRightInd w:val="0"/>
              <w:snapToGrid w:val="0"/>
              <w:jc w:val="center"/>
            </w:pPr>
          </w:p>
        </w:tc>
        <w:tc>
          <w:tcPr>
            <w:tcW w:w="5150" w:type="dxa"/>
            <w:tcBorders>
              <w:tl2br w:val="nil"/>
              <w:tr2bl w:val="nil"/>
            </w:tcBorders>
            <w:vAlign w:val="center"/>
          </w:tcPr>
          <w:p>
            <w:pPr>
              <w:adjustRightInd w:val="0"/>
              <w:snapToGrid w:val="0"/>
              <w:jc w:val="left"/>
            </w:pPr>
            <w:r>
              <w:t>602</w:t>
            </w:r>
            <w:r>
              <w:rPr>
                <w:rFonts w:hint="eastAsia"/>
                <w:color w:val="auto"/>
                <w:lang w:val="en-US" w:eastAsia="zh-CN"/>
              </w:rPr>
              <w:t>m</w:t>
            </w:r>
            <w:r>
              <w:rPr>
                <w:rFonts w:hint="eastAsia"/>
                <w:color w:val="auto"/>
                <w:vertAlign w:val="superscript"/>
                <w:lang w:val="en-US" w:eastAsia="zh-CN"/>
              </w:rPr>
              <w:t>3</w:t>
            </w:r>
            <w:r>
              <w:t>液蜡配料罐4台。</w:t>
            </w:r>
          </w:p>
        </w:tc>
        <w:tc>
          <w:tcPr>
            <w:tcW w:w="945" w:type="dxa"/>
            <w:tcBorders>
              <w:tl2br w:val="nil"/>
              <w:tr2bl w:val="nil"/>
            </w:tcBorders>
            <w:vAlign w:val="center"/>
          </w:tcPr>
          <w:p>
            <w:pPr>
              <w:adjustRightInd w:val="0"/>
              <w:snapToGrid w:val="0"/>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54" w:type="dxa"/>
            <w:vMerge w:val="continue"/>
            <w:tcBorders>
              <w:tl2br w:val="nil"/>
              <w:tr2bl w:val="nil"/>
            </w:tcBorders>
            <w:vAlign w:val="center"/>
          </w:tcPr>
          <w:p>
            <w:pPr>
              <w:adjustRightInd w:val="0"/>
              <w:snapToGrid w:val="0"/>
              <w:jc w:val="center"/>
              <w:rPr>
                <w:b/>
              </w:rPr>
            </w:pPr>
          </w:p>
        </w:tc>
        <w:tc>
          <w:tcPr>
            <w:tcW w:w="1429" w:type="dxa"/>
            <w:gridSpan w:val="3"/>
            <w:vMerge w:val="continue"/>
            <w:tcBorders>
              <w:tl2br w:val="nil"/>
              <w:tr2bl w:val="nil"/>
            </w:tcBorders>
            <w:vAlign w:val="center"/>
          </w:tcPr>
          <w:p>
            <w:pPr>
              <w:adjustRightInd w:val="0"/>
              <w:snapToGrid w:val="0"/>
              <w:jc w:val="center"/>
            </w:pPr>
          </w:p>
        </w:tc>
        <w:tc>
          <w:tcPr>
            <w:tcW w:w="4878" w:type="dxa"/>
            <w:tcBorders>
              <w:tl2br w:val="nil"/>
              <w:tr2bl w:val="nil"/>
            </w:tcBorders>
            <w:vAlign w:val="center"/>
          </w:tcPr>
          <w:p>
            <w:pPr>
              <w:adjustRightInd w:val="0"/>
              <w:snapToGrid w:val="0"/>
              <w:jc w:val="left"/>
            </w:pPr>
            <w:r>
              <w:t>212</w:t>
            </w:r>
            <w:r>
              <w:rPr>
                <w:rFonts w:hint="eastAsia"/>
                <w:color w:val="auto"/>
                <w:lang w:val="en-US" w:eastAsia="zh-CN"/>
              </w:rPr>
              <w:t>m</w:t>
            </w:r>
            <w:r>
              <w:rPr>
                <w:rFonts w:hint="eastAsia"/>
                <w:color w:val="auto"/>
                <w:vertAlign w:val="superscript"/>
                <w:lang w:val="en-US" w:eastAsia="zh-CN"/>
              </w:rPr>
              <w:t>3</w:t>
            </w:r>
            <w:r>
              <w:t>次氯酸钠储罐1台</w:t>
            </w:r>
            <w:r>
              <w:rPr>
                <w:rFonts w:hint="eastAsia"/>
              </w:rPr>
              <w:t>。</w:t>
            </w:r>
          </w:p>
        </w:tc>
        <w:tc>
          <w:tcPr>
            <w:tcW w:w="1188" w:type="dxa"/>
            <w:vMerge w:val="continue"/>
            <w:tcBorders>
              <w:tl2br w:val="nil"/>
              <w:tr2bl w:val="nil"/>
            </w:tcBorders>
            <w:vAlign w:val="center"/>
          </w:tcPr>
          <w:p>
            <w:pPr>
              <w:adjustRightInd w:val="0"/>
              <w:snapToGrid w:val="0"/>
              <w:jc w:val="center"/>
            </w:pPr>
          </w:p>
        </w:tc>
        <w:tc>
          <w:tcPr>
            <w:tcW w:w="5150" w:type="dxa"/>
            <w:tcBorders>
              <w:tl2br w:val="nil"/>
              <w:tr2bl w:val="nil"/>
            </w:tcBorders>
            <w:vAlign w:val="center"/>
          </w:tcPr>
          <w:p>
            <w:pPr>
              <w:adjustRightInd w:val="0"/>
              <w:snapToGrid w:val="0"/>
              <w:jc w:val="left"/>
            </w:pPr>
            <w:r>
              <w:t>212</w:t>
            </w:r>
            <w:r>
              <w:rPr>
                <w:rFonts w:hint="eastAsia"/>
                <w:color w:val="auto"/>
                <w:lang w:val="en-US" w:eastAsia="zh-CN"/>
              </w:rPr>
              <w:t>m</w:t>
            </w:r>
            <w:r>
              <w:rPr>
                <w:rFonts w:hint="eastAsia"/>
                <w:color w:val="auto"/>
                <w:vertAlign w:val="superscript"/>
                <w:lang w:val="en-US" w:eastAsia="zh-CN"/>
              </w:rPr>
              <w:t>3</w:t>
            </w:r>
            <w:r>
              <w:t>次氯酸钠储罐1台</w:t>
            </w:r>
            <w:r>
              <w:rPr>
                <w:rFonts w:hint="eastAsia"/>
              </w:rPr>
              <w:t>。</w:t>
            </w:r>
          </w:p>
        </w:tc>
        <w:tc>
          <w:tcPr>
            <w:tcW w:w="945" w:type="dxa"/>
            <w:tcBorders>
              <w:tl2br w:val="nil"/>
              <w:tr2bl w:val="nil"/>
            </w:tcBorders>
            <w:vAlign w:val="center"/>
          </w:tcPr>
          <w:p>
            <w:pPr>
              <w:adjustRightInd w:val="0"/>
              <w:snapToGrid w:val="0"/>
              <w:jc w:val="center"/>
              <w:rPr>
                <w:bCs/>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54" w:type="dxa"/>
            <w:vMerge w:val="continue"/>
            <w:tcBorders>
              <w:tl2br w:val="nil"/>
              <w:tr2bl w:val="nil"/>
            </w:tcBorders>
            <w:vAlign w:val="center"/>
          </w:tcPr>
          <w:p>
            <w:pPr>
              <w:adjustRightInd w:val="0"/>
              <w:snapToGrid w:val="0"/>
              <w:jc w:val="center"/>
              <w:rPr>
                <w:b/>
              </w:rPr>
            </w:pPr>
          </w:p>
        </w:tc>
        <w:tc>
          <w:tcPr>
            <w:tcW w:w="1429" w:type="dxa"/>
            <w:gridSpan w:val="3"/>
            <w:vMerge w:val="continue"/>
            <w:tcBorders>
              <w:tl2br w:val="nil"/>
              <w:tr2bl w:val="nil"/>
            </w:tcBorders>
            <w:vAlign w:val="center"/>
          </w:tcPr>
          <w:p>
            <w:pPr>
              <w:adjustRightInd w:val="0"/>
              <w:snapToGrid w:val="0"/>
              <w:jc w:val="center"/>
              <w:rPr>
                <w:highlight w:val="yellow"/>
              </w:rPr>
            </w:pPr>
          </w:p>
        </w:tc>
        <w:tc>
          <w:tcPr>
            <w:tcW w:w="4878" w:type="dxa"/>
            <w:tcBorders>
              <w:tl2br w:val="nil"/>
              <w:tr2bl w:val="nil"/>
            </w:tcBorders>
            <w:vAlign w:val="center"/>
          </w:tcPr>
          <w:p>
            <w:pPr>
              <w:adjustRightInd w:val="0"/>
              <w:snapToGrid w:val="0"/>
              <w:jc w:val="left"/>
            </w:pPr>
            <w:r>
              <w:t>中转泵房1座，内设液蜡进料泵8台。</w:t>
            </w:r>
          </w:p>
        </w:tc>
        <w:tc>
          <w:tcPr>
            <w:tcW w:w="1188" w:type="dxa"/>
            <w:vMerge w:val="continue"/>
            <w:tcBorders>
              <w:tl2br w:val="nil"/>
              <w:tr2bl w:val="nil"/>
            </w:tcBorders>
            <w:vAlign w:val="center"/>
          </w:tcPr>
          <w:p>
            <w:pPr>
              <w:adjustRightInd w:val="0"/>
              <w:snapToGrid w:val="0"/>
              <w:jc w:val="center"/>
            </w:pPr>
          </w:p>
        </w:tc>
        <w:tc>
          <w:tcPr>
            <w:tcW w:w="5150" w:type="dxa"/>
            <w:tcBorders>
              <w:tl2br w:val="nil"/>
              <w:tr2bl w:val="nil"/>
            </w:tcBorders>
            <w:vAlign w:val="center"/>
          </w:tcPr>
          <w:p>
            <w:pPr>
              <w:adjustRightInd w:val="0"/>
              <w:snapToGrid w:val="0"/>
              <w:jc w:val="left"/>
            </w:pPr>
            <w:r>
              <w:t>中转泵房1座，内设液蜡进料泵8台。</w:t>
            </w:r>
          </w:p>
        </w:tc>
        <w:tc>
          <w:tcPr>
            <w:tcW w:w="945" w:type="dxa"/>
            <w:tcBorders>
              <w:tl2br w:val="nil"/>
              <w:tr2bl w:val="nil"/>
            </w:tcBorders>
            <w:vAlign w:val="center"/>
          </w:tcPr>
          <w:p>
            <w:pPr>
              <w:jc w:val="center"/>
              <w:rPr>
                <w:szCs w:val="18"/>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54" w:type="dxa"/>
            <w:vMerge w:val="continue"/>
            <w:tcBorders>
              <w:tl2br w:val="nil"/>
              <w:tr2bl w:val="nil"/>
            </w:tcBorders>
            <w:vAlign w:val="center"/>
          </w:tcPr>
          <w:p>
            <w:pPr>
              <w:adjustRightInd w:val="0"/>
              <w:snapToGrid w:val="0"/>
              <w:jc w:val="center"/>
              <w:rPr>
                <w:b/>
              </w:rPr>
            </w:pPr>
          </w:p>
        </w:tc>
        <w:tc>
          <w:tcPr>
            <w:tcW w:w="1429" w:type="dxa"/>
            <w:gridSpan w:val="3"/>
            <w:vMerge w:val="restart"/>
            <w:tcBorders>
              <w:tl2br w:val="nil"/>
              <w:tr2bl w:val="nil"/>
            </w:tcBorders>
            <w:vAlign w:val="center"/>
          </w:tcPr>
          <w:p>
            <w:pPr>
              <w:adjustRightInd w:val="0"/>
              <w:snapToGrid w:val="0"/>
              <w:jc w:val="center"/>
              <w:rPr>
                <w:highlight w:val="yellow"/>
              </w:rPr>
            </w:pPr>
            <w:r>
              <w:rPr>
                <w:rFonts w:hint="eastAsia"/>
              </w:rPr>
              <w:t>产品罐区</w:t>
            </w:r>
          </w:p>
        </w:tc>
        <w:tc>
          <w:tcPr>
            <w:tcW w:w="4878" w:type="dxa"/>
            <w:tcBorders>
              <w:tl2br w:val="nil"/>
              <w:tr2bl w:val="nil"/>
            </w:tcBorders>
            <w:vAlign w:val="center"/>
          </w:tcPr>
          <w:p>
            <w:pPr>
              <w:adjustRightInd w:val="0"/>
              <w:snapToGrid w:val="0"/>
              <w:jc w:val="left"/>
            </w:pPr>
            <w:r>
              <w:rPr>
                <w:rFonts w:hint="eastAsia"/>
              </w:rPr>
              <w:t>690m</w:t>
            </w:r>
            <w:r>
              <w:rPr>
                <w:rFonts w:hint="eastAsia"/>
                <w:vertAlign w:val="superscript"/>
              </w:rPr>
              <w:t>3</w:t>
            </w:r>
            <w:r>
              <w:rPr>
                <w:rFonts w:hint="eastAsia"/>
              </w:rPr>
              <w:t>氯化石蜡储罐10台。</w:t>
            </w:r>
          </w:p>
        </w:tc>
        <w:tc>
          <w:tcPr>
            <w:tcW w:w="1188" w:type="dxa"/>
            <w:vMerge w:val="restart"/>
            <w:tcBorders>
              <w:tl2br w:val="nil"/>
              <w:tr2bl w:val="nil"/>
            </w:tcBorders>
            <w:vAlign w:val="center"/>
          </w:tcPr>
          <w:p>
            <w:pPr>
              <w:adjustRightInd w:val="0"/>
              <w:snapToGrid w:val="0"/>
              <w:jc w:val="center"/>
            </w:pPr>
            <w:r>
              <w:rPr>
                <w:rFonts w:hint="eastAsia"/>
              </w:rPr>
              <w:t>新建，一期，自佰润新材厂区现有产品罐区向南侧扩建。</w:t>
            </w:r>
          </w:p>
        </w:tc>
        <w:tc>
          <w:tcPr>
            <w:tcW w:w="5150" w:type="dxa"/>
            <w:tcBorders>
              <w:tl2br w:val="nil"/>
              <w:tr2bl w:val="nil"/>
            </w:tcBorders>
            <w:vAlign w:val="center"/>
          </w:tcPr>
          <w:p>
            <w:pPr>
              <w:adjustRightInd w:val="0"/>
              <w:snapToGrid w:val="0"/>
              <w:jc w:val="left"/>
            </w:pPr>
            <w:r>
              <w:rPr>
                <w:rFonts w:hint="eastAsia"/>
              </w:rPr>
              <w:t>690m</w:t>
            </w:r>
            <w:r>
              <w:rPr>
                <w:rFonts w:hint="eastAsia"/>
                <w:vertAlign w:val="superscript"/>
              </w:rPr>
              <w:t>3</w:t>
            </w:r>
            <w:r>
              <w:rPr>
                <w:rFonts w:hint="eastAsia"/>
              </w:rPr>
              <w:t>氯化石蜡储罐10台。</w:t>
            </w:r>
          </w:p>
        </w:tc>
        <w:tc>
          <w:tcPr>
            <w:tcW w:w="945" w:type="dxa"/>
            <w:tcBorders>
              <w:tl2br w:val="nil"/>
              <w:tr2bl w:val="nil"/>
            </w:tcBorders>
            <w:vAlign w:val="center"/>
          </w:tcPr>
          <w:p>
            <w:pPr>
              <w:jc w:val="center"/>
              <w:rPr>
                <w:szCs w:val="18"/>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4" w:type="dxa"/>
            <w:vMerge w:val="continue"/>
            <w:tcBorders>
              <w:tl2br w:val="nil"/>
              <w:tr2bl w:val="nil"/>
            </w:tcBorders>
            <w:vAlign w:val="center"/>
          </w:tcPr>
          <w:p>
            <w:pPr>
              <w:adjustRightInd w:val="0"/>
              <w:snapToGrid w:val="0"/>
              <w:jc w:val="center"/>
            </w:pPr>
          </w:p>
        </w:tc>
        <w:tc>
          <w:tcPr>
            <w:tcW w:w="1429" w:type="dxa"/>
            <w:gridSpan w:val="3"/>
            <w:vMerge w:val="continue"/>
            <w:tcBorders>
              <w:tl2br w:val="nil"/>
              <w:tr2bl w:val="nil"/>
            </w:tcBorders>
            <w:vAlign w:val="center"/>
          </w:tcPr>
          <w:p>
            <w:pPr>
              <w:adjustRightInd w:val="0"/>
              <w:snapToGrid w:val="0"/>
              <w:jc w:val="left"/>
            </w:pPr>
          </w:p>
        </w:tc>
        <w:tc>
          <w:tcPr>
            <w:tcW w:w="4878" w:type="dxa"/>
            <w:tcBorders>
              <w:tl2br w:val="nil"/>
              <w:tr2bl w:val="nil"/>
            </w:tcBorders>
            <w:vAlign w:val="center"/>
          </w:tcPr>
          <w:p>
            <w:pPr>
              <w:adjustRightInd w:val="0"/>
              <w:snapToGrid w:val="0"/>
              <w:jc w:val="left"/>
            </w:pPr>
            <w:r>
              <w:rPr>
                <w:rFonts w:hint="eastAsia"/>
              </w:rPr>
              <w:t>690m</w:t>
            </w:r>
            <w:r>
              <w:rPr>
                <w:rFonts w:hint="eastAsia"/>
                <w:vertAlign w:val="superscript"/>
              </w:rPr>
              <w:t>3</w:t>
            </w:r>
            <w:r>
              <w:rPr>
                <w:rFonts w:hint="eastAsia"/>
              </w:rPr>
              <w:t>盐酸储罐4台。</w:t>
            </w:r>
          </w:p>
        </w:tc>
        <w:tc>
          <w:tcPr>
            <w:tcW w:w="1188" w:type="dxa"/>
            <w:vMerge w:val="continue"/>
            <w:tcBorders>
              <w:tl2br w:val="nil"/>
              <w:tr2bl w:val="nil"/>
            </w:tcBorders>
            <w:vAlign w:val="center"/>
          </w:tcPr>
          <w:p>
            <w:pPr>
              <w:adjustRightInd w:val="0"/>
              <w:snapToGrid w:val="0"/>
              <w:jc w:val="center"/>
            </w:pPr>
          </w:p>
        </w:tc>
        <w:tc>
          <w:tcPr>
            <w:tcW w:w="5150" w:type="dxa"/>
            <w:tcBorders>
              <w:tl2br w:val="nil"/>
              <w:tr2bl w:val="nil"/>
            </w:tcBorders>
            <w:vAlign w:val="center"/>
          </w:tcPr>
          <w:p>
            <w:pPr>
              <w:adjustRightInd w:val="0"/>
              <w:snapToGrid w:val="0"/>
              <w:jc w:val="left"/>
            </w:pPr>
            <w:r>
              <w:rPr>
                <w:rFonts w:hint="eastAsia"/>
              </w:rPr>
              <w:t>690m</w:t>
            </w:r>
            <w:r>
              <w:rPr>
                <w:rFonts w:hint="eastAsia"/>
                <w:vertAlign w:val="superscript"/>
              </w:rPr>
              <w:t>3</w:t>
            </w:r>
            <w:r>
              <w:rPr>
                <w:rFonts w:hint="eastAsia"/>
              </w:rPr>
              <w:t>盐酸储罐4台。</w:t>
            </w:r>
          </w:p>
        </w:tc>
        <w:tc>
          <w:tcPr>
            <w:tcW w:w="945" w:type="dxa"/>
            <w:tcBorders>
              <w:tl2br w:val="nil"/>
              <w:tr2bl w:val="nil"/>
            </w:tcBorders>
            <w:vAlign w:val="center"/>
          </w:tcPr>
          <w:p>
            <w:pPr>
              <w:jc w:val="cente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restart"/>
            <w:tcBorders>
              <w:tl2br w:val="nil"/>
              <w:tr2bl w:val="nil"/>
            </w:tcBorders>
            <w:vAlign w:val="center"/>
          </w:tcPr>
          <w:p>
            <w:pPr>
              <w:adjustRightInd w:val="0"/>
              <w:snapToGrid w:val="0"/>
              <w:jc w:val="center"/>
              <w:rPr>
                <w:b/>
              </w:rPr>
            </w:pPr>
          </w:p>
        </w:tc>
        <w:tc>
          <w:tcPr>
            <w:tcW w:w="545" w:type="dxa"/>
            <w:gridSpan w:val="2"/>
            <w:vMerge w:val="restart"/>
            <w:tcBorders>
              <w:right w:val="single" w:color="000000" w:sz="12" w:space="0"/>
              <w:tl2br w:val="nil"/>
              <w:tr2bl w:val="nil"/>
            </w:tcBorders>
            <w:vAlign w:val="center"/>
          </w:tcPr>
          <w:p>
            <w:pPr>
              <w:jc w:val="left"/>
              <w:rPr>
                <w:rFonts w:ascii="宋体" w:hAnsi="宋体"/>
                <w:color w:val="000000"/>
                <w:sz w:val="24"/>
              </w:rPr>
            </w:pPr>
            <w:r>
              <w:rPr>
                <w:rFonts w:hint="eastAsia" w:ascii="宋体" w:hAnsi="宋体"/>
                <w:color w:val="000000"/>
                <w:sz w:val="24"/>
              </w:rPr>
              <w:t>装卸设施</w:t>
            </w:r>
          </w:p>
          <w:p>
            <w:pPr>
              <w:adjustRightInd w:val="0"/>
              <w:snapToGrid w:val="0"/>
              <w:jc w:val="left"/>
            </w:pPr>
          </w:p>
        </w:tc>
        <w:tc>
          <w:tcPr>
            <w:tcW w:w="884" w:type="dxa"/>
            <w:vMerge w:val="restart"/>
            <w:tcBorders>
              <w:left w:val="single" w:color="000000" w:sz="12" w:space="0"/>
              <w:tl2br w:val="nil"/>
              <w:tr2bl w:val="nil"/>
            </w:tcBorders>
            <w:vAlign w:val="center"/>
          </w:tcPr>
          <w:p>
            <w:pPr>
              <w:jc w:val="center"/>
            </w:pPr>
            <w:r>
              <w:rPr>
                <w:rFonts w:hint="eastAsia" w:ascii="宋体" w:hAnsi="宋体"/>
                <w:color w:val="000000"/>
                <w:sz w:val="24"/>
              </w:rPr>
              <w:t>卸车设施</w:t>
            </w:r>
          </w:p>
        </w:tc>
        <w:tc>
          <w:tcPr>
            <w:tcW w:w="4878" w:type="dxa"/>
            <w:tcBorders>
              <w:tl2br w:val="nil"/>
              <w:tr2bl w:val="nil"/>
            </w:tcBorders>
            <w:vAlign w:val="center"/>
          </w:tcPr>
          <w:p>
            <w:pPr>
              <w:adjustRightInd w:val="0"/>
              <w:snapToGrid w:val="0"/>
              <w:jc w:val="left"/>
            </w:pPr>
            <w:r>
              <w:rPr>
                <w:rFonts w:hint="eastAsia"/>
              </w:rPr>
              <w:t>液蜡卸车泵2台。</w:t>
            </w:r>
          </w:p>
        </w:tc>
        <w:tc>
          <w:tcPr>
            <w:tcW w:w="1188" w:type="dxa"/>
            <w:vMerge w:val="restart"/>
            <w:tcBorders>
              <w:tl2br w:val="nil"/>
              <w:tr2bl w:val="nil"/>
            </w:tcBorders>
            <w:vAlign w:val="center"/>
          </w:tcPr>
          <w:p>
            <w:pPr>
              <w:adjustRightInd w:val="0"/>
              <w:snapToGrid w:val="0"/>
              <w:jc w:val="center"/>
            </w:pPr>
            <w:r>
              <w:rPr>
                <w:rFonts w:hint="eastAsia"/>
              </w:rPr>
              <w:t>新建，一期，</w:t>
            </w:r>
          </w:p>
          <w:p>
            <w:pPr>
              <w:adjustRightInd w:val="0"/>
              <w:snapToGrid w:val="0"/>
              <w:jc w:val="center"/>
            </w:pPr>
            <w:r>
              <w:rPr>
                <w:rFonts w:hint="eastAsia"/>
              </w:rPr>
              <w:t>在佰润新材厂区现有卸车泵房内增设。</w:t>
            </w:r>
          </w:p>
        </w:tc>
        <w:tc>
          <w:tcPr>
            <w:tcW w:w="5150" w:type="dxa"/>
            <w:tcBorders>
              <w:tl2br w:val="nil"/>
              <w:tr2bl w:val="nil"/>
            </w:tcBorders>
            <w:vAlign w:val="center"/>
          </w:tcPr>
          <w:p>
            <w:pPr>
              <w:adjustRightInd w:val="0"/>
              <w:snapToGrid w:val="0"/>
              <w:jc w:val="left"/>
            </w:pPr>
            <w:r>
              <w:rPr>
                <w:rFonts w:hint="eastAsia"/>
              </w:rPr>
              <w:t>液蜡卸车泵2台。</w:t>
            </w:r>
          </w:p>
        </w:tc>
        <w:tc>
          <w:tcPr>
            <w:tcW w:w="945" w:type="dxa"/>
            <w:vMerge w:val="restart"/>
            <w:tcBorders>
              <w:tl2br w:val="nil"/>
              <w:tr2bl w:val="nil"/>
            </w:tcBorders>
            <w:vAlign w:val="center"/>
          </w:tcPr>
          <w:p>
            <w:pPr>
              <w:jc w:val="cente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rPr>
                <w:b/>
              </w:rPr>
            </w:pPr>
          </w:p>
        </w:tc>
        <w:tc>
          <w:tcPr>
            <w:tcW w:w="545" w:type="dxa"/>
            <w:gridSpan w:val="2"/>
            <w:vMerge w:val="continue"/>
            <w:tcBorders>
              <w:right w:val="single" w:color="000000" w:sz="12" w:space="0"/>
              <w:tl2br w:val="nil"/>
              <w:tr2bl w:val="nil"/>
            </w:tcBorders>
            <w:vAlign w:val="center"/>
          </w:tcPr>
          <w:p>
            <w:pPr>
              <w:adjustRightInd w:val="0"/>
              <w:snapToGrid w:val="0"/>
              <w:jc w:val="left"/>
            </w:pPr>
          </w:p>
        </w:tc>
        <w:tc>
          <w:tcPr>
            <w:tcW w:w="884" w:type="dxa"/>
            <w:vMerge w:val="continue"/>
            <w:tcBorders>
              <w:left w:val="single" w:color="000000" w:sz="12" w:space="0"/>
              <w:tl2br w:val="nil"/>
              <w:tr2bl w:val="nil"/>
            </w:tcBorders>
            <w:vAlign w:val="center"/>
          </w:tcPr>
          <w:p>
            <w:pPr>
              <w:adjustRightInd w:val="0"/>
              <w:snapToGrid w:val="0"/>
              <w:jc w:val="center"/>
            </w:pPr>
          </w:p>
        </w:tc>
        <w:tc>
          <w:tcPr>
            <w:tcW w:w="4878" w:type="dxa"/>
            <w:tcBorders>
              <w:tl2br w:val="nil"/>
              <w:tr2bl w:val="nil"/>
            </w:tcBorders>
            <w:vAlign w:val="center"/>
          </w:tcPr>
          <w:p>
            <w:pPr>
              <w:adjustRightInd w:val="0"/>
              <w:snapToGrid w:val="0"/>
              <w:jc w:val="left"/>
            </w:pPr>
            <w:r>
              <w:rPr>
                <w:rFonts w:hint="eastAsia"/>
              </w:rPr>
              <w:t>液蜡输送泵2台。</w:t>
            </w:r>
          </w:p>
        </w:tc>
        <w:tc>
          <w:tcPr>
            <w:tcW w:w="1188" w:type="dxa"/>
            <w:vMerge w:val="continue"/>
            <w:tcBorders>
              <w:tl2br w:val="nil"/>
              <w:tr2bl w:val="nil"/>
            </w:tcBorders>
            <w:vAlign w:val="center"/>
          </w:tcPr>
          <w:p>
            <w:pPr>
              <w:adjustRightInd w:val="0"/>
              <w:snapToGrid w:val="0"/>
              <w:jc w:val="center"/>
            </w:pPr>
          </w:p>
        </w:tc>
        <w:tc>
          <w:tcPr>
            <w:tcW w:w="5150" w:type="dxa"/>
            <w:tcBorders>
              <w:tl2br w:val="nil"/>
              <w:tr2bl w:val="nil"/>
            </w:tcBorders>
            <w:vAlign w:val="center"/>
          </w:tcPr>
          <w:p>
            <w:pPr>
              <w:adjustRightInd w:val="0"/>
              <w:snapToGrid w:val="0"/>
              <w:jc w:val="left"/>
            </w:pPr>
            <w:r>
              <w:rPr>
                <w:rFonts w:hint="eastAsia"/>
              </w:rPr>
              <w:t>液蜡输送泵2台。</w:t>
            </w:r>
          </w:p>
        </w:tc>
        <w:tc>
          <w:tcPr>
            <w:tcW w:w="945" w:type="dxa"/>
            <w:vMerge w:val="continue"/>
            <w:tcBorders>
              <w:tl2br w:val="nil"/>
              <w:tr2bl w:val="nil"/>
            </w:tcBorders>
            <w:vAlign w:val="center"/>
          </w:tcPr>
          <w:p>
            <w:pPr>
              <w:adjustRightInd w:val="0"/>
              <w:snapToGrid w:val="0"/>
              <w:jc w:val="center"/>
              <w:rPr>
                <w:kern w:val="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rPr>
                <w:b/>
              </w:rPr>
            </w:pPr>
          </w:p>
        </w:tc>
        <w:tc>
          <w:tcPr>
            <w:tcW w:w="545" w:type="dxa"/>
            <w:gridSpan w:val="2"/>
            <w:vMerge w:val="continue"/>
            <w:tcBorders>
              <w:right w:val="single" w:color="000000" w:sz="12" w:space="0"/>
              <w:tl2br w:val="nil"/>
              <w:tr2bl w:val="nil"/>
            </w:tcBorders>
            <w:vAlign w:val="center"/>
          </w:tcPr>
          <w:p>
            <w:pPr>
              <w:adjustRightInd w:val="0"/>
              <w:snapToGrid w:val="0"/>
              <w:jc w:val="left"/>
            </w:pPr>
          </w:p>
        </w:tc>
        <w:tc>
          <w:tcPr>
            <w:tcW w:w="884" w:type="dxa"/>
            <w:vMerge w:val="restart"/>
            <w:tcBorders>
              <w:left w:val="single" w:color="000000" w:sz="12" w:space="0"/>
              <w:tl2br w:val="nil"/>
              <w:tr2bl w:val="nil"/>
            </w:tcBorders>
            <w:vAlign w:val="center"/>
          </w:tcPr>
          <w:p>
            <w:pPr>
              <w:jc w:val="center"/>
            </w:pPr>
            <w:r>
              <w:rPr>
                <w:rFonts w:hint="eastAsia"/>
              </w:rPr>
              <w:t>装车设施</w:t>
            </w:r>
          </w:p>
        </w:tc>
        <w:tc>
          <w:tcPr>
            <w:tcW w:w="4878" w:type="dxa"/>
            <w:tcBorders>
              <w:tl2br w:val="nil"/>
              <w:tr2bl w:val="nil"/>
            </w:tcBorders>
            <w:vAlign w:val="center"/>
          </w:tcPr>
          <w:p>
            <w:pPr>
              <w:adjustRightInd w:val="0"/>
              <w:snapToGrid w:val="0"/>
              <w:jc w:val="left"/>
            </w:pPr>
            <w:r>
              <w:rPr>
                <w:rFonts w:hint="eastAsia"/>
              </w:rPr>
              <w:t>盐酸装车鹤管4台。</w:t>
            </w:r>
          </w:p>
        </w:tc>
        <w:tc>
          <w:tcPr>
            <w:tcW w:w="1188" w:type="dxa"/>
            <w:tcBorders>
              <w:tl2br w:val="nil"/>
              <w:tr2bl w:val="nil"/>
            </w:tcBorders>
            <w:vAlign w:val="center"/>
          </w:tcPr>
          <w:p>
            <w:pPr>
              <w:adjustRightInd w:val="0"/>
              <w:snapToGrid w:val="0"/>
              <w:jc w:val="left"/>
            </w:pPr>
            <w:r>
              <w:rPr>
                <w:rFonts w:hint="eastAsia"/>
              </w:rPr>
              <w:t>新建，一期，位于综合仓库北侧。</w:t>
            </w:r>
          </w:p>
        </w:tc>
        <w:tc>
          <w:tcPr>
            <w:tcW w:w="5150" w:type="dxa"/>
            <w:tcBorders>
              <w:tl2br w:val="nil"/>
              <w:tr2bl w:val="nil"/>
            </w:tcBorders>
            <w:vAlign w:val="center"/>
          </w:tcPr>
          <w:p>
            <w:pPr>
              <w:adjustRightInd w:val="0"/>
              <w:snapToGrid w:val="0"/>
              <w:jc w:val="left"/>
            </w:pPr>
            <w:r>
              <w:rPr>
                <w:rFonts w:hint="eastAsia"/>
              </w:rPr>
              <w:t>盐酸装车鹤管4台。</w:t>
            </w:r>
          </w:p>
        </w:tc>
        <w:tc>
          <w:tcPr>
            <w:tcW w:w="945" w:type="dxa"/>
            <w:tcBorders>
              <w:tl2br w:val="nil"/>
              <w:tr2bl w:val="nil"/>
            </w:tcBorders>
            <w:vAlign w:val="center"/>
          </w:tcPr>
          <w:p>
            <w:pPr>
              <w:adjustRightInd w:val="0"/>
              <w:snapToGrid w:val="0"/>
              <w:jc w:val="center"/>
              <w:rPr>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rPr>
                <w:b/>
              </w:rPr>
            </w:pPr>
          </w:p>
        </w:tc>
        <w:tc>
          <w:tcPr>
            <w:tcW w:w="545" w:type="dxa"/>
            <w:gridSpan w:val="2"/>
            <w:vMerge w:val="continue"/>
            <w:tcBorders>
              <w:right w:val="single" w:color="000000" w:sz="12" w:space="0"/>
              <w:tl2br w:val="nil"/>
              <w:tr2bl w:val="nil"/>
            </w:tcBorders>
            <w:vAlign w:val="center"/>
          </w:tcPr>
          <w:p>
            <w:pPr>
              <w:adjustRightInd w:val="0"/>
              <w:snapToGrid w:val="0"/>
              <w:jc w:val="left"/>
            </w:pPr>
          </w:p>
        </w:tc>
        <w:tc>
          <w:tcPr>
            <w:tcW w:w="884" w:type="dxa"/>
            <w:vMerge w:val="continue"/>
            <w:tcBorders>
              <w:left w:val="single" w:color="000000" w:sz="12" w:space="0"/>
              <w:tl2br w:val="nil"/>
              <w:tr2bl w:val="nil"/>
            </w:tcBorders>
            <w:vAlign w:val="center"/>
          </w:tcPr>
          <w:p>
            <w:pPr>
              <w:adjustRightInd w:val="0"/>
              <w:snapToGrid w:val="0"/>
              <w:jc w:val="left"/>
            </w:pPr>
          </w:p>
        </w:tc>
        <w:tc>
          <w:tcPr>
            <w:tcW w:w="4878" w:type="dxa"/>
            <w:tcBorders>
              <w:tl2br w:val="nil"/>
              <w:tr2bl w:val="nil"/>
            </w:tcBorders>
            <w:vAlign w:val="center"/>
          </w:tcPr>
          <w:p>
            <w:pPr>
              <w:adjustRightInd w:val="0"/>
              <w:snapToGrid w:val="0"/>
              <w:jc w:val="left"/>
            </w:pPr>
            <w:r>
              <w:rPr>
                <w:rFonts w:hint="eastAsia"/>
              </w:rPr>
              <w:t>盐酸装车泵2台。</w:t>
            </w:r>
          </w:p>
        </w:tc>
        <w:tc>
          <w:tcPr>
            <w:tcW w:w="1188" w:type="dxa"/>
            <w:tcBorders>
              <w:tl2br w:val="nil"/>
              <w:tr2bl w:val="nil"/>
            </w:tcBorders>
            <w:vAlign w:val="center"/>
          </w:tcPr>
          <w:p>
            <w:pPr>
              <w:adjustRightInd w:val="0"/>
              <w:snapToGrid w:val="0"/>
              <w:jc w:val="left"/>
            </w:pPr>
            <w:r>
              <w:rPr>
                <w:rFonts w:hint="eastAsia"/>
              </w:rPr>
              <w:t>新建，一期，位于产品罐区东侧。</w:t>
            </w:r>
          </w:p>
        </w:tc>
        <w:tc>
          <w:tcPr>
            <w:tcW w:w="5150" w:type="dxa"/>
            <w:tcBorders>
              <w:tl2br w:val="nil"/>
              <w:tr2bl w:val="nil"/>
            </w:tcBorders>
            <w:vAlign w:val="center"/>
          </w:tcPr>
          <w:p>
            <w:pPr>
              <w:adjustRightInd w:val="0"/>
              <w:snapToGrid w:val="0"/>
              <w:jc w:val="left"/>
            </w:pPr>
            <w:r>
              <w:rPr>
                <w:rFonts w:hint="eastAsia"/>
              </w:rPr>
              <w:t>盐酸装车泵2台。</w:t>
            </w:r>
          </w:p>
        </w:tc>
        <w:tc>
          <w:tcPr>
            <w:tcW w:w="945" w:type="dxa"/>
            <w:tcBorders>
              <w:tl2br w:val="nil"/>
              <w:tr2bl w:val="nil"/>
            </w:tcBorders>
            <w:vAlign w:val="center"/>
          </w:tcPr>
          <w:p>
            <w:pPr>
              <w:adjustRightInd w:val="0"/>
              <w:snapToGrid w:val="0"/>
              <w:jc w:val="center"/>
              <w:rPr>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rPr>
                <w:b/>
              </w:rPr>
            </w:pPr>
          </w:p>
        </w:tc>
        <w:tc>
          <w:tcPr>
            <w:tcW w:w="545" w:type="dxa"/>
            <w:gridSpan w:val="2"/>
            <w:vMerge w:val="continue"/>
            <w:tcBorders>
              <w:right w:val="single" w:color="000000" w:sz="12" w:space="0"/>
              <w:tl2br w:val="nil"/>
              <w:tr2bl w:val="nil"/>
            </w:tcBorders>
            <w:vAlign w:val="center"/>
          </w:tcPr>
          <w:p>
            <w:pPr>
              <w:adjustRightInd w:val="0"/>
              <w:snapToGrid w:val="0"/>
              <w:jc w:val="left"/>
            </w:pPr>
          </w:p>
        </w:tc>
        <w:tc>
          <w:tcPr>
            <w:tcW w:w="884" w:type="dxa"/>
            <w:vMerge w:val="continue"/>
            <w:tcBorders>
              <w:left w:val="single" w:color="000000" w:sz="12" w:space="0"/>
              <w:tl2br w:val="nil"/>
              <w:tr2bl w:val="nil"/>
            </w:tcBorders>
            <w:vAlign w:val="center"/>
          </w:tcPr>
          <w:p>
            <w:pPr>
              <w:adjustRightInd w:val="0"/>
              <w:snapToGrid w:val="0"/>
              <w:jc w:val="left"/>
            </w:pPr>
          </w:p>
        </w:tc>
        <w:tc>
          <w:tcPr>
            <w:tcW w:w="4878" w:type="dxa"/>
            <w:tcBorders>
              <w:tl2br w:val="nil"/>
              <w:tr2bl w:val="nil"/>
            </w:tcBorders>
            <w:vAlign w:val="center"/>
          </w:tcPr>
          <w:p>
            <w:pPr>
              <w:adjustRightInd w:val="0"/>
              <w:snapToGrid w:val="0"/>
              <w:jc w:val="left"/>
            </w:pPr>
            <w:r>
              <w:rPr>
                <w:rFonts w:hint="eastAsia"/>
              </w:rPr>
              <w:t>氯化石蜡装车泵4台。</w:t>
            </w:r>
          </w:p>
        </w:tc>
        <w:tc>
          <w:tcPr>
            <w:tcW w:w="1188" w:type="dxa"/>
            <w:tcBorders>
              <w:tl2br w:val="nil"/>
              <w:tr2bl w:val="nil"/>
            </w:tcBorders>
            <w:vAlign w:val="center"/>
          </w:tcPr>
          <w:p>
            <w:pPr>
              <w:adjustRightInd w:val="0"/>
              <w:snapToGrid w:val="0"/>
              <w:jc w:val="left"/>
            </w:pPr>
            <w:r>
              <w:rPr>
                <w:rFonts w:hint="eastAsia"/>
              </w:rPr>
              <w:t>新建，一期，在佰润新材厂区现有装车泵房内增设。</w:t>
            </w:r>
          </w:p>
        </w:tc>
        <w:tc>
          <w:tcPr>
            <w:tcW w:w="5150" w:type="dxa"/>
            <w:tcBorders>
              <w:tl2br w:val="nil"/>
              <w:tr2bl w:val="nil"/>
            </w:tcBorders>
            <w:vAlign w:val="center"/>
          </w:tcPr>
          <w:p>
            <w:pPr>
              <w:adjustRightInd w:val="0"/>
              <w:snapToGrid w:val="0"/>
              <w:jc w:val="left"/>
            </w:pPr>
            <w:r>
              <w:rPr>
                <w:rFonts w:hint="eastAsia"/>
              </w:rPr>
              <w:t>氯化石蜡装车泵4台。</w:t>
            </w:r>
          </w:p>
        </w:tc>
        <w:tc>
          <w:tcPr>
            <w:tcW w:w="945" w:type="dxa"/>
            <w:tcBorders>
              <w:tl2br w:val="nil"/>
              <w:tr2bl w:val="nil"/>
            </w:tcBorders>
            <w:vAlign w:val="center"/>
          </w:tcPr>
          <w:p>
            <w:pPr>
              <w:adjustRightInd w:val="0"/>
              <w:snapToGrid w:val="0"/>
              <w:jc w:val="center"/>
              <w:rPr>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restart"/>
            <w:tcBorders>
              <w:tl2br w:val="nil"/>
              <w:tr2bl w:val="nil"/>
            </w:tcBorders>
            <w:vAlign w:val="center"/>
          </w:tcPr>
          <w:p>
            <w:pPr>
              <w:adjustRightInd w:val="0"/>
              <w:snapToGrid w:val="0"/>
              <w:jc w:val="center"/>
              <w:rPr>
                <w:b/>
              </w:rPr>
            </w:pPr>
            <w:r>
              <w:rPr>
                <w:rFonts w:hint="eastAsia"/>
                <w:b/>
              </w:rPr>
              <w:t>环保工程</w:t>
            </w:r>
          </w:p>
        </w:tc>
        <w:tc>
          <w:tcPr>
            <w:tcW w:w="1429" w:type="dxa"/>
            <w:gridSpan w:val="3"/>
            <w:tcBorders>
              <w:tl2br w:val="nil"/>
              <w:tr2bl w:val="nil"/>
            </w:tcBorders>
            <w:vAlign w:val="center"/>
          </w:tcPr>
          <w:p>
            <w:pPr>
              <w:adjustRightInd w:val="0"/>
              <w:snapToGrid w:val="0"/>
              <w:jc w:val="center"/>
            </w:pPr>
            <w:r>
              <w:rPr>
                <w:rFonts w:hint="eastAsia"/>
              </w:rPr>
              <w:t>废气治理设施</w:t>
            </w:r>
          </w:p>
        </w:tc>
        <w:tc>
          <w:tcPr>
            <w:tcW w:w="4878" w:type="dxa"/>
            <w:tcBorders>
              <w:tl2br w:val="nil"/>
              <w:tr2bl w:val="nil"/>
            </w:tcBorders>
            <w:vAlign w:val="center"/>
          </w:tcPr>
          <w:p>
            <w:pPr>
              <w:adjustRightInd w:val="0"/>
              <w:snapToGrid w:val="0"/>
              <w:jc w:val="left"/>
            </w:pPr>
            <w:r>
              <w:rPr>
                <w:rFonts w:hint="eastAsia"/>
              </w:rPr>
              <w:t>拟建项目氯化反应废气经深冷气液分离＋副釜回收＋冷却除油＋降膜吸收后尾气经尾气吸收装置（碱液吸收）处理后经25m排气筒P1排放；氯化石蜡精制废气经降膜吸收后尾气经管道与氯化反应尾气一起经尾气吸收装置（碱液吸收）处理后经25m排气筒P1排放；盐酸储罐废气经水浴吸收后与氯化反应处理后尾气、精制工序处理后尾气合并后经1根25m高排气筒（P1）无变化排放；氯化石蜡及石蜡储罐废气无组织排放。</w:t>
            </w:r>
          </w:p>
        </w:tc>
        <w:tc>
          <w:tcPr>
            <w:tcW w:w="1188" w:type="dxa"/>
            <w:tcBorders>
              <w:tl2br w:val="nil"/>
              <w:tr2bl w:val="nil"/>
            </w:tcBorders>
            <w:vAlign w:val="center"/>
          </w:tcPr>
          <w:p>
            <w:pPr>
              <w:widowControl/>
              <w:jc w:val="center"/>
            </w:pPr>
            <w:r>
              <w:rPr>
                <w:rFonts w:hint="eastAsia"/>
              </w:rPr>
              <w:t>新建</w:t>
            </w:r>
          </w:p>
        </w:tc>
        <w:tc>
          <w:tcPr>
            <w:tcW w:w="5150" w:type="dxa"/>
            <w:tcBorders>
              <w:tl2br w:val="nil"/>
              <w:tr2bl w:val="nil"/>
            </w:tcBorders>
            <w:vAlign w:val="center"/>
          </w:tcPr>
          <w:p>
            <w:pPr>
              <w:adjustRightInd w:val="0"/>
              <w:snapToGrid w:val="0"/>
              <w:jc w:val="left"/>
            </w:pPr>
            <w:r>
              <w:rPr>
                <w:rFonts w:hint="eastAsia"/>
              </w:rPr>
              <w:t>项目氯化反应废气经深冷气液分离＋副釜回收＋冷却除油＋降膜吸收后尾气经尾气吸收装置（碱液吸收）处理后经25m排气筒P1排放；氯化石蜡精制废气经降膜吸收后尾气经管道与氯化反应尾气一起经尾气吸收装置（碱液吸收）处理后经25m排气筒P1排放；盐酸储罐废气经水浴吸收后与氯化反应处理后尾气、精制工序处理后尾气合并后经1根25m高排气筒（P1）无变化排放；氯化石蜡及石蜡储罐废气无组织排放。</w:t>
            </w:r>
          </w:p>
        </w:tc>
        <w:tc>
          <w:tcPr>
            <w:tcW w:w="945" w:type="dxa"/>
            <w:tcBorders>
              <w:tl2br w:val="nil"/>
              <w:tr2bl w:val="nil"/>
            </w:tcBorders>
            <w:vAlign w:val="center"/>
          </w:tcPr>
          <w:p>
            <w:pPr>
              <w:adjustRightInd w:val="0"/>
              <w:snapToGrid w:val="0"/>
              <w:jc w:val="center"/>
              <w:rPr>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rPr>
                <w:b/>
              </w:rPr>
            </w:pPr>
          </w:p>
        </w:tc>
        <w:tc>
          <w:tcPr>
            <w:tcW w:w="1429" w:type="dxa"/>
            <w:gridSpan w:val="3"/>
            <w:tcBorders>
              <w:tl2br w:val="nil"/>
              <w:tr2bl w:val="nil"/>
            </w:tcBorders>
            <w:vAlign w:val="center"/>
          </w:tcPr>
          <w:p>
            <w:pPr>
              <w:adjustRightInd w:val="0"/>
              <w:snapToGrid w:val="0"/>
              <w:jc w:val="center"/>
            </w:pPr>
            <w:r>
              <w:rPr>
                <w:rFonts w:hint="eastAsia"/>
              </w:rPr>
              <w:t>污水处理系统</w:t>
            </w:r>
          </w:p>
        </w:tc>
        <w:tc>
          <w:tcPr>
            <w:tcW w:w="4878" w:type="dxa"/>
            <w:tcBorders>
              <w:tl2br w:val="nil"/>
              <w:tr2bl w:val="nil"/>
            </w:tcBorders>
            <w:vAlign w:val="center"/>
          </w:tcPr>
          <w:p>
            <w:pPr>
              <w:adjustRightInd w:val="0"/>
              <w:snapToGrid w:val="0"/>
              <w:jc w:val="left"/>
            </w:pPr>
            <w:r>
              <w:rPr>
                <w:rFonts w:hint="eastAsia"/>
              </w:rPr>
              <w:t>初期雨水排入初期雨水收集池，全部回用于生产装置盐酸精制岗位氯化氢气体吸收用水，生活污水经化粪池处理后由环卫清掏，不外排。</w:t>
            </w:r>
          </w:p>
        </w:tc>
        <w:tc>
          <w:tcPr>
            <w:tcW w:w="1188" w:type="dxa"/>
            <w:tcBorders>
              <w:tl2br w:val="nil"/>
              <w:tr2bl w:val="nil"/>
            </w:tcBorders>
            <w:vAlign w:val="center"/>
          </w:tcPr>
          <w:p>
            <w:pPr>
              <w:widowControl/>
              <w:jc w:val="center"/>
            </w:pPr>
            <w:r>
              <w:rPr>
                <w:rFonts w:hint="eastAsia"/>
              </w:rPr>
              <w:t>依托现有</w:t>
            </w:r>
          </w:p>
        </w:tc>
        <w:tc>
          <w:tcPr>
            <w:tcW w:w="5150" w:type="dxa"/>
            <w:tcBorders>
              <w:tl2br w:val="nil"/>
              <w:tr2bl w:val="nil"/>
            </w:tcBorders>
            <w:vAlign w:val="center"/>
          </w:tcPr>
          <w:p>
            <w:pPr>
              <w:adjustRightInd w:val="0"/>
              <w:snapToGrid w:val="0"/>
              <w:jc w:val="left"/>
            </w:pPr>
            <w:r>
              <w:rPr>
                <w:rFonts w:hint="eastAsia"/>
              </w:rPr>
              <w:t>初期雨水排入初期雨水收集池，全部回用于生产装置盐酸精制岗位氯化氢气体吸收用水，生活污水经化粪池处理后由环卫清掏，不外排。</w:t>
            </w:r>
          </w:p>
        </w:tc>
        <w:tc>
          <w:tcPr>
            <w:tcW w:w="945" w:type="dxa"/>
            <w:tcBorders>
              <w:tl2br w:val="nil"/>
              <w:tr2bl w:val="nil"/>
            </w:tcBorders>
            <w:vAlign w:val="center"/>
          </w:tcPr>
          <w:p>
            <w:pPr>
              <w:adjustRightInd w:val="0"/>
              <w:snapToGrid w:val="0"/>
              <w:jc w:val="center"/>
              <w:rPr>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rPr>
                <w:b/>
              </w:rPr>
            </w:pPr>
          </w:p>
        </w:tc>
        <w:tc>
          <w:tcPr>
            <w:tcW w:w="1429" w:type="dxa"/>
            <w:gridSpan w:val="3"/>
            <w:tcBorders>
              <w:tl2br w:val="nil"/>
              <w:tr2bl w:val="nil"/>
            </w:tcBorders>
            <w:vAlign w:val="center"/>
          </w:tcPr>
          <w:p>
            <w:pPr>
              <w:adjustRightInd w:val="0"/>
              <w:snapToGrid w:val="0"/>
              <w:jc w:val="center"/>
            </w:pPr>
            <w:r>
              <w:rPr>
                <w:rFonts w:hint="eastAsia"/>
              </w:rPr>
              <w:t>固体废物</w:t>
            </w:r>
          </w:p>
        </w:tc>
        <w:tc>
          <w:tcPr>
            <w:tcW w:w="4878" w:type="dxa"/>
            <w:tcBorders>
              <w:tl2br w:val="nil"/>
              <w:tr2bl w:val="nil"/>
            </w:tcBorders>
            <w:vAlign w:val="center"/>
          </w:tcPr>
          <w:p>
            <w:pPr>
              <w:adjustRightInd w:val="0"/>
              <w:snapToGrid w:val="0"/>
              <w:jc w:val="left"/>
            </w:pPr>
            <w:r>
              <w:rPr>
                <w:rFonts w:hint="eastAsia"/>
              </w:rPr>
              <w:t>生活垃圾集中收集由环卫部门清运：废机油桶及废机油交由具有危废处置资质的单位处理。</w:t>
            </w:r>
          </w:p>
        </w:tc>
        <w:tc>
          <w:tcPr>
            <w:tcW w:w="1188" w:type="dxa"/>
            <w:tcBorders>
              <w:tl2br w:val="nil"/>
              <w:tr2bl w:val="nil"/>
            </w:tcBorders>
            <w:vAlign w:val="center"/>
          </w:tcPr>
          <w:p>
            <w:pPr>
              <w:widowControl/>
              <w:jc w:val="center"/>
            </w:pPr>
            <w:r>
              <w:rPr>
                <w:rFonts w:hint="eastAsia"/>
              </w:rPr>
              <w:t>/</w:t>
            </w:r>
          </w:p>
        </w:tc>
        <w:tc>
          <w:tcPr>
            <w:tcW w:w="5150" w:type="dxa"/>
            <w:tcBorders>
              <w:tl2br w:val="nil"/>
              <w:tr2bl w:val="nil"/>
            </w:tcBorders>
            <w:vAlign w:val="center"/>
          </w:tcPr>
          <w:p>
            <w:pPr>
              <w:adjustRightInd w:val="0"/>
              <w:snapToGrid w:val="0"/>
              <w:jc w:val="left"/>
            </w:pPr>
            <w:r>
              <w:rPr>
                <w:rFonts w:hint="eastAsia"/>
              </w:rPr>
              <w:t>生活垃圾集中收集由环卫部门清运：废机油桶及废机油交由具有危废处置资质的单位处理。</w:t>
            </w:r>
          </w:p>
        </w:tc>
        <w:tc>
          <w:tcPr>
            <w:tcW w:w="945" w:type="dxa"/>
            <w:tcBorders>
              <w:tl2br w:val="nil"/>
              <w:tr2bl w:val="nil"/>
            </w:tcBorders>
            <w:vAlign w:val="center"/>
          </w:tcPr>
          <w:p>
            <w:pPr>
              <w:adjustRightInd w:val="0"/>
              <w:snapToGrid w:val="0"/>
              <w:jc w:val="center"/>
              <w:rPr>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rPr>
                <w:b/>
              </w:rPr>
            </w:pPr>
          </w:p>
        </w:tc>
        <w:tc>
          <w:tcPr>
            <w:tcW w:w="1429" w:type="dxa"/>
            <w:gridSpan w:val="3"/>
            <w:tcBorders>
              <w:tl2br w:val="nil"/>
              <w:tr2bl w:val="nil"/>
            </w:tcBorders>
            <w:vAlign w:val="center"/>
          </w:tcPr>
          <w:p>
            <w:pPr>
              <w:adjustRightInd w:val="0"/>
              <w:snapToGrid w:val="0"/>
              <w:jc w:val="center"/>
            </w:pPr>
            <w:r>
              <w:rPr>
                <w:rFonts w:hint="eastAsia"/>
              </w:rPr>
              <w:t>降噪措施</w:t>
            </w:r>
          </w:p>
        </w:tc>
        <w:tc>
          <w:tcPr>
            <w:tcW w:w="4878" w:type="dxa"/>
            <w:tcBorders>
              <w:tl2br w:val="nil"/>
              <w:tr2bl w:val="nil"/>
            </w:tcBorders>
            <w:vAlign w:val="center"/>
          </w:tcPr>
          <w:p>
            <w:pPr>
              <w:adjustRightInd w:val="0"/>
              <w:snapToGrid w:val="0"/>
              <w:jc w:val="left"/>
            </w:pPr>
            <w:r>
              <w:rPr>
                <w:rFonts w:hint="eastAsia"/>
              </w:rPr>
              <w:t>针对噪声设备采取隔声、减振、消声等常规降噪措施，生产设备全部安置在厂房内。</w:t>
            </w:r>
          </w:p>
        </w:tc>
        <w:tc>
          <w:tcPr>
            <w:tcW w:w="1188" w:type="dxa"/>
            <w:tcBorders>
              <w:tl2br w:val="nil"/>
              <w:tr2bl w:val="nil"/>
            </w:tcBorders>
            <w:vAlign w:val="center"/>
          </w:tcPr>
          <w:p>
            <w:pPr>
              <w:widowControl/>
              <w:jc w:val="center"/>
            </w:pPr>
            <w:r>
              <w:rPr>
                <w:rFonts w:hint="eastAsia"/>
              </w:rPr>
              <w:t>/</w:t>
            </w:r>
          </w:p>
        </w:tc>
        <w:tc>
          <w:tcPr>
            <w:tcW w:w="5150" w:type="dxa"/>
            <w:tcBorders>
              <w:tl2br w:val="nil"/>
              <w:tr2bl w:val="nil"/>
            </w:tcBorders>
            <w:vAlign w:val="center"/>
          </w:tcPr>
          <w:p>
            <w:pPr>
              <w:adjustRightInd w:val="0"/>
              <w:snapToGrid w:val="0"/>
              <w:jc w:val="left"/>
            </w:pPr>
            <w:r>
              <w:rPr>
                <w:rFonts w:hint="eastAsia"/>
              </w:rPr>
              <w:t>针对噪声设备采取隔声、减振、消声等常规降噪措施，生产设备全部安置在厂房内。</w:t>
            </w:r>
          </w:p>
        </w:tc>
        <w:tc>
          <w:tcPr>
            <w:tcW w:w="945" w:type="dxa"/>
            <w:tcBorders>
              <w:tl2br w:val="nil"/>
              <w:tr2bl w:val="nil"/>
            </w:tcBorders>
            <w:vAlign w:val="center"/>
          </w:tcPr>
          <w:p>
            <w:pPr>
              <w:adjustRightInd w:val="0"/>
              <w:snapToGrid w:val="0"/>
              <w:jc w:val="center"/>
              <w:rPr>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rPr>
                <w:b/>
              </w:rPr>
            </w:pPr>
          </w:p>
        </w:tc>
        <w:tc>
          <w:tcPr>
            <w:tcW w:w="1429" w:type="dxa"/>
            <w:gridSpan w:val="3"/>
            <w:tcBorders>
              <w:tl2br w:val="nil"/>
              <w:tr2bl w:val="nil"/>
            </w:tcBorders>
            <w:vAlign w:val="center"/>
          </w:tcPr>
          <w:p>
            <w:pPr>
              <w:adjustRightInd w:val="0"/>
              <w:snapToGrid w:val="0"/>
              <w:jc w:val="center"/>
            </w:pPr>
            <w:r>
              <w:rPr>
                <w:rFonts w:hint="eastAsia"/>
              </w:rPr>
              <w:t>事故水池</w:t>
            </w:r>
          </w:p>
        </w:tc>
        <w:tc>
          <w:tcPr>
            <w:tcW w:w="4878" w:type="dxa"/>
            <w:tcBorders>
              <w:tl2br w:val="nil"/>
              <w:tr2bl w:val="nil"/>
            </w:tcBorders>
            <w:vAlign w:val="center"/>
          </w:tcPr>
          <w:p>
            <w:pPr>
              <w:adjustRightInd w:val="0"/>
              <w:snapToGrid w:val="0"/>
              <w:jc w:val="left"/>
            </w:pPr>
            <w:r>
              <w:rPr>
                <w:rFonts w:hint="eastAsia"/>
              </w:rPr>
              <w:t>1座，容积为1260m</w:t>
            </w:r>
            <w:r>
              <w:rPr>
                <w:rFonts w:hint="eastAsia"/>
                <w:vertAlign w:val="superscript"/>
              </w:rPr>
              <w:t>3</w:t>
            </w:r>
            <w:r>
              <w:rPr>
                <w:rFonts w:hint="eastAsia"/>
              </w:rPr>
              <w:t>。</w:t>
            </w:r>
          </w:p>
        </w:tc>
        <w:tc>
          <w:tcPr>
            <w:tcW w:w="1188" w:type="dxa"/>
            <w:tcBorders>
              <w:tl2br w:val="nil"/>
              <w:tr2bl w:val="nil"/>
            </w:tcBorders>
            <w:vAlign w:val="center"/>
          </w:tcPr>
          <w:p>
            <w:pPr>
              <w:widowControl/>
              <w:jc w:val="center"/>
            </w:pPr>
            <w:r>
              <w:rPr>
                <w:rFonts w:hint="eastAsia"/>
              </w:rPr>
              <w:t>依托</w:t>
            </w:r>
          </w:p>
          <w:p>
            <w:pPr>
              <w:widowControl/>
              <w:jc w:val="center"/>
            </w:pPr>
            <w:r>
              <w:rPr>
                <w:rFonts w:hint="eastAsia"/>
              </w:rPr>
              <w:t>佰润新材</w:t>
            </w:r>
          </w:p>
        </w:tc>
        <w:tc>
          <w:tcPr>
            <w:tcW w:w="5150" w:type="dxa"/>
            <w:tcBorders>
              <w:tl2br w:val="nil"/>
              <w:tr2bl w:val="nil"/>
            </w:tcBorders>
            <w:vAlign w:val="center"/>
          </w:tcPr>
          <w:p>
            <w:pPr>
              <w:adjustRightInd w:val="0"/>
              <w:snapToGrid w:val="0"/>
              <w:jc w:val="left"/>
            </w:pPr>
            <w:r>
              <w:rPr>
                <w:rFonts w:hint="eastAsia"/>
              </w:rPr>
              <w:t>1座，容积为1260m</w:t>
            </w:r>
            <w:r>
              <w:rPr>
                <w:rFonts w:hint="eastAsia"/>
                <w:vertAlign w:val="superscript"/>
              </w:rPr>
              <w:t>3</w:t>
            </w:r>
            <w:r>
              <w:rPr>
                <w:rFonts w:hint="eastAsia"/>
              </w:rPr>
              <w:t>。</w:t>
            </w:r>
          </w:p>
        </w:tc>
        <w:tc>
          <w:tcPr>
            <w:tcW w:w="945" w:type="dxa"/>
            <w:tcBorders>
              <w:tl2br w:val="nil"/>
              <w:tr2bl w:val="nil"/>
            </w:tcBorders>
            <w:vAlign w:val="center"/>
          </w:tcPr>
          <w:p>
            <w:pPr>
              <w:adjustRightInd w:val="0"/>
              <w:snapToGrid w:val="0"/>
              <w:jc w:val="center"/>
              <w:rPr>
                <w:kern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4" w:type="dxa"/>
            <w:vMerge w:val="continue"/>
            <w:tcBorders>
              <w:tl2br w:val="nil"/>
              <w:tr2bl w:val="nil"/>
            </w:tcBorders>
            <w:vAlign w:val="center"/>
          </w:tcPr>
          <w:p>
            <w:pPr>
              <w:adjustRightInd w:val="0"/>
              <w:snapToGrid w:val="0"/>
              <w:jc w:val="center"/>
              <w:rPr>
                <w:b/>
              </w:rPr>
            </w:pPr>
          </w:p>
        </w:tc>
        <w:tc>
          <w:tcPr>
            <w:tcW w:w="1429" w:type="dxa"/>
            <w:gridSpan w:val="3"/>
            <w:tcBorders>
              <w:tl2br w:val="nil"/>
              <w:tr2bl w:val="nil"/>
            </w:tcBorders>
            <w:vAlign w:val="center"/>
          </w:tcPr>
          <w:p>
            <w:pPr>
              <w:adjustRightInd w:val="0"/>
              <w:snapToGrid w:val="0"/>
              <w:jc w:val="center"/>
            </w:pPr>
            <w:r>
              <w:rPr>
                <w:rFonts w:hint="eastAsia"/>
              </w:rPr>
              <w:t>初期雨水池</w:t>
            </w:r>
          </w:p>
        </w:tc>
        <w:tc>
          <w:tcPr>
            <w:tcW w:w="4878" w:type="dxa"/>
            <w:tcBorders>
              <w:tl2br w:val="nil"/>
              <w:tr2bl w:val="nil"/>
            </w:tcBorders>
            <w:vAlign w:val="center"/>
          </w:tcPr>
          <w:p>
            <w:pPr>
              <w:adjustRightInd w:val="0"/>
              <w:snapToGrid w:val="0"/>
              <w:jc w:val="left"/>
            </w:pPr>
            <w:r>
              <w:rPr>
                <w:rFonts w:hint="eastAsia"/>
              </w:rPr>
              <w:t>1座，容积为1260m</w:t>
            </w:r>
            <w:r>
              <w:rPr>
                <w:rFonts w:hint="eastAsia"/>
                <w:vertAlign w:val="superscript"/>
              </w:rPr>
              <w:t>3</w:t>
            </w:r>
            <w:r>
              <w:rPr>
                <w:rFonts w:hint="eastAsia"/>
              </w:rPr>
              <w:t>。</w:t>
            </w:r>
          </w:p>
        </w:tc>
        <w:tc>
          <w:tcPr>
            <w:tcW w:w="1188" w:type="dxa"/>
            <w:tcBorders>
              <w:tl2br w:val="nil"/>
              <w:tr2bl w:val="nil"/>
            </w:tcBorders>
            <w:vAlign w:val="center"/>
          </w:tcPr>
          <w:p>
            <w:pPr>
              <w:widowControl/>
              <w:jc w:val="center"/>
            </w:pPr>
            <w:r>
              <w:rPr>
                <w:rFonts w:hint="eastAsia"/>
              </w:rPr>
              <w:t>依托</w:t>
            </w:r>
          </w:p>
          <w:p>
            <w:pPr>
              <w:widowControl/>
              <w:jc w:val="center"/>
            </w:pPr>
            <w:r>
              <w:rPr>
                <w:rFonts w:hint="eastAsia"/>
              </w:rPr>
              <w:t>佰润新材</w:t>
            </w:r>
          </w:p>
        </w:tc>
        <w:tc>
          <w:tcPr>
            <w:tcW w:w="5150" w:type="dxa"/>
            <w:tcBorders>
              <w:tl2br w:val="nil"/>
              <w:tr2bl w:val="nil"/>
            </w:tcBorders>
            <w:vAlign w:val="center"/>
          </w:tcPr>
          <w:p>
            <w:pPr>
              <w:adjustRightInd w:val="0"/>
              <w:snapToGrid w:val="0"/>
              <w:jc w:val="left"/>
            </w:pPr>
            <w:r>
              <w:rPr>
                <w:rFonts w:hint="eastAsia"/>
              </w:rPr>
              <w:t>1座，容积为1260m</w:t>
            </w:r>
            <w:r>
              <w:rPr>
                <w:rFonts w:hint="eastAsia"/>
                <w:vertAlign w:val="superscript"/>
              </w:rPr>
              <w:t>3</w:t>
            </w:r>
            <w:r>
              <w:rPr>
                <w:rFonts w:hint="eastAsia"/>
              </w:rPr>
              <w:t>。</w:t>
            </w:r>
          </w:p>
        </w:tc>
        <w:tc>
          <w:tcPr>
            <w:tcW w:w="945" w:type="dxa"/>
            <w:tcBorders>
              <w:tl2br w:val="nil"/>
              <w:tr2bl w:val="nil"/>
            </w:tcBorders>
            <w:vAlign w:val="center"/>
          </w:tcPr>
          <w:p>
            <w:pPr>
              <w:adjustRightInd w:val="0"/>
              <w:snapToGrid w:val="0"/>
              <w:jc w:val="center"/>
              <w:rPr>
                <w:kern w:val="0"/>
              </w:rPr>
            </w:pPr>
            <w:r>
              <w:rPr>
                <w:rFonts w:hint="eastAsia"/>
              </w:rPr>
              <w:t>无变化</w:t>
            </w:r>
          </w:p>
        </w:tc>
      </w:tr>
    </w:tbl>
    <w:p>
      <w:pPr>
        <w:sectPr>
          <w:footerReference r:id="rId10" w:type="default"/>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10"/>
        <w:spacing w:line="360" w:lineRule="auto"/>
        <w:contextualSpacing/>
      </w:pPr>
      <w:bookmarkStart w:id="23" w:name="_Toc20020"/>
      <w:r>
        <w:t>3.3主要原辅材料及生产设备</w:t>
      </w:r>
      <w:bookmarkEnd w:id="23"/>
    </w:p>
    <w:p>
      <w:pPr>
        <w:pStyle w:val="11"/>
        <w:contextualSpacing/>
      </w:pPr>
      <w:bookmarkStart w:id="24" w:name="_Toc45203798"/>
      <w:bookmarkStart w:id="25" w:name="_Toc45202662"/>
      <w:bookmarkStart w:id="26" w:name="_Toc4250"/>
      <w:r>
        <w:t>3.3.1主要生产设备</w:t>
      </w:r>
      <w:bookmarkEnd w:id="24"/>
      <w:bookmarkEnd w:id="25"/>
      <w:bookmarkEnd w:id="26"/>
    </w:p>
    <w:p>
      <w:pPr>
        <w:pStyle w:val="84"/>
        <w:spacing w:line="360" w:lineRule="auto"/>
        <w:ind w:firstLine="422"/>
        <w:contextualSpacing/>
        <w:jc w:val="center"/>
        <w:rPr>
          <w:b/>
          <w:bCs/>
        </w:rPr>
      </w:pPr>
      <w:r>
        <w:rPr>
          <w:b/>
          <w:bCs/>
        </w:rPr>
        <w:t>表 3.3-1 项目主要生产设备一览表</w:t>
      </w:r>
    </w:p>
    <w:tbl>
      <w:tblPr>
        <w:tblStyle w:val="40"/>
        <w:tblW w:w="14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404"/>
        <w:gridCol w:w="1086"/>
        <w:gridCol w:w="1028"/>
        <w:gridCol w:w="1819"/>
        <w:gridCol w:w="1594"/>
        <w:gridCol w:w="1949"/>
        <w:gridCol w:w="1524"/>
        <w:gridCol w:w="944"/>
        <w:gridCol w:w="1131"/>
        <w:gridCol w:w="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2" w:type="dxa"/>
            <w:gridSpan w:val="9"/>
            <w:vAlign w:val="center"/>
          </w:tcPr>
          <w:p>
            <w:pPr>
              <w:jc w:val="center"/>
              <w:rPr>
                <w:b/>
                <w:bCs/>
              </w:rPr>
            </w:pPr>
            <w:r>
              <w:rPr>
                <w:b/>
                <w:bCs/>
              </w:rPr>
              <w:t>环评及环评批复要求</w:t>
            </w:r>
          </w:p>
        </w:tc>
        <w:tc>
          <w:tcPr>
            <w:tcW w:w="2064" w:type="dxa"/>
            <w:gridSpan w:val="2"/>
            <w:vAlign w:val="center"/>
          </w:tcPr>
          <w:p>
            <w:pPr>
              <w:jc w:val="center"/>
              <w:rPr>
                <w:b/>
                <w:bCs/>
              </w:rPr>
            </w:pPr>
            <w:r>
              <w:rPr>
                <w:b/>
                <w:bCs/>
              </w:rPr>
              <w:t>实际建设情况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rPr>
                <w:b/>
                <w:bCs/>
              </w:rPr>
            </w:pPr>
            <w:r>
              <w:rPr>
                <w:b/>
                <w:bCs/>
              </w:rPr>
              <w:t>序号</w:t>
            </w:r>
          </w:p>
        </w:tc>
        <w:tc>
          <w:tcPr>
            <w:tcW w:w="1404" w:type="dxa"/>
            <w:vAlign w:val="center"/>
          </w:tcPr>
          <w:p>
            <w:pPr>
              <w:jc w:val="center"/>
              <w:rPr>
                <w:b/>
                <w:bCs/>
              </w:rPr>
            </w:pPr>
            <w:r>
              <w:rPr>
                <w:b/>
                <w:bCs/>
              </w:rPr>
              <w:t>设备名称</w:t>
            </w:r>
          </w:p>
        </w:tc>
        <w:tc>
          <w:tcPr>
            <w:tcW w:w="1086" w:type="dxa"/>
            <w:vAlign w:val="center"/>
          </w:tcPr>
          <w:p>
            <w:pPr>
              <w:jc w:val="center"/>
              <w:rPr>
                <w:b/>
                <w:bCs/>
              </w:rPr>
            </w:pPr>
            <w:r>
              <w:rPr>
                <w:b/>
                <w:bCs/>
              </w:rPr>
              <w:t>材质</w:t>
            </w:r>
          </w:p>
        </w:tc>
        <w:tc>
          <w:tcPr>
            <w:tcW w:w="1028" w:type="dxa"/>
            <w:vAlign w:val="center"/>
          </w:tcPr>
          <w:p>
            <w:pPr>
              <w:jc w:val="center"/>
              <w:rPr>
                <w:b/>
                <w:bCs/>
              </w:rPr>
            </w:pPr>
            <w:r>
              <w:rPr>
                <w:b/>
                <w:bCs/>
              </w:rPr>
              <w:t>数量</w:t>
            </w:r>
          </w:p>
          <w:p>
            <w:pPr>
              <w:jc w:val="center"/>
              <w:rPr>
                <w:b/>
                <w:bCs/>
              </w:rPr>
            </w:pPr>
            <w:r>
              <w:rPr>
                <w:rFonts w:hint="eastAsia"/>
                <w:b/>
                <w:bCs/>
              </w:rPr>
              <w:t>（台/套）</w:t>
            </w:r>
          </w:p>
        </w:tc>
        <w:tc>
          <w:tcPr>
            <w:tcW w:w="1819" w:type="dxa"/>
            <w:vAlign w:val="center"/>
          </w:tcPr>
          <w:p>
            <w:pPr>
              <w:jc w:val="center"/>
              <w:rPr>
                <w:b/>
                <w:bCs/>
              </w:rPr>
            </w:pPr>
            <w:r>
              <w:rPr>
                <w:b/>
                <w:bCs/>
              </w:rPr>
              <w:t>规格型号</w:t>
            </w:r>
          </w:p>
        </w:tc>
        <w:tc>
          <w:tcPr>
            <w:tcW w:w="1594" w:type="dxa"/>
            <w:vAlign w:val="center"/>
          </w:tcPr>
          <w:p>
            <w:pPr>
              <w:jc w:val="center"/>
              <w:rPr>
                <w:b/>
                <w:bCs/>
              </w:rPr>
            </w:pPr>
            <w:r>
              <w:rPr>
                <w:b/>
                <w:bCs/>
              </w:rPr>
              <w:t>操作/设计温度（℃）</w:t>
            </w:r>
          </w:p>
        </w:tc>
        <w:tc>
          <w:tcPr>
            <w:tcW w:w="1949" w:type="dxa"/>
            <w:vAlign w:val="center"/>
          </w:tcPr>
          <w:p>
            <w:pPr>
              <w:jc w:val="center"/>
              <w:rPr>
                <w:b/>
                <w:bCs/>
              </w:rPr>
            </w:pPr>
            <w:r>
              <w:rPr>
                <w:b/>
                <w:bCs/>
              </w:rPr>
              <w:t>操作/设计压力（MPa）</w:t>
            </w:r>
          </w:p>
        </w:tc>
        <w:tc>
          <w:tcPr>
            <w:tcW w:w="1524" w:type="dxa"/>
            <w:vAlign w:val="center"/>
          </w:tcPr>
          <w:p>
            <w:pPr>
              <w:jc w:val="center"/>
              <w:rPr>
                <w:b/>
                <w:bCs/>
              </w:rPr>
            </w:pPr>
            <w:r>
              <w:rPr>
                <w:b/>
                <w:bCs/>
              </w:rPr>
              <w:t>介质</w:t>
            </w:r>
          </w:p>
        </w:tc>
        <w:tc>
          <w:tcPr>
            <w:tcW w:w="944" w:type="dxa"/>
            <w:vAlign w:val="center"/>
          </w:tcPr>
          <w:p>
            <w:pPr>
              <w:jc w:val="center"/>
              <w:rPr>
                <w:b/>
                <w:bCs/>
              </w:rPr>
            </w:pPr>
            <w:r>
              <w:rPr>
                <w:b/>
                <w:bCs/>
              </w:rPr>
              <w:t>备注</w:t>
            </w:r>
          </w:p>
        </w:tc>
        <w:tc>
          <w:tcPr>
            <w:tcW w:w="1131" w:type="dxa"/>
            <w:vAlign w:val="center"/>
          </w:tcPr>
          <w:p>
            <w:pPr>
              <w:jc w:val="center"/>
              <w:rPr>
                <w:b/>
                <w:bCs/>
              </w:rPr>
            </w:pPr>
            <w:r>
              <w:rPr>
                <w:b/>
                <w:bCs/>
              </w:rPr>
              <w:t>数量</w:t>
            </w:r>
          </w:p>
          <w:p>
            <w:pPr>
              <w:jc w:val="center"/>
              <w:rPr>
                <w:b/>
                <w:bCs/>
              </w:rPr>
            </w:pPr>
            <w:r>
              <w:rPr>
                <w:b/>
                <w:bCs/>
              </w:rPr>
              <w:t>（台/套）</w:t>
            </w:r>
          </w:p>
        </w:tc>
        <w:tc>
          <w:tcPr>
            <w:tcW w:w="933" w:type="dxa"/>
            <w:vAlign w:val="center"/>
          </w:tcPr>
          <w:p>
            <w:pPr>
              <w:jc w:val="center"/>
              <w:rPr>
                <w:b/>
                <w:bCs/>
              </w:rPr>
            </w:pPr>
            <w:r>
              <w:rPr>
                <w:b/>
                <w:bCs/>
              </w:rPr>
              <w:t>设备变化情况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6" w:type="dxa"/>
            <w:gridSpan w:val="11"/>
            <w:vAlign w:val="center"/>
          </w:tcPr>
          <w:p>
            <w:pPr>
              <w:jc w:val="center"/>
              <w:rPr>
                <w:b/>
                <w:bCs/>
              </w:rPr>
            </w:pPr>
            <w:r>
              <w:rPr>
                <w:rFonts w:hint="eastAsia"/>
                <w:b/>
                <w:bCs/>
              </w:rPr>
              <w:t>一、生产装置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6" w:type="dxa"/>
            <w:gridSpan w:val="11"/>
            <w:vAlign w:val="center"/>
          </w:tcPr>
          <w:p>
            <w:pPr>
              <w:jc w:val="center"/>
              <w:rPr>
                <w:b/>
                <w:bCs/>
              </w:rPr>
            </w:pPr>
            <w:r>
              <w:rPr>
                <w:rFonts w:hint="eastAsia"/>
                <w:b/>
                <w:bCs/>
              </w:rPr>
              <w:t>釜设备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t>1</w:t>
            </w:r>
          </w:p>
        </w:tc>
        <w:tc>
          <w:tcPr>
            <w:tcW w:w="1404" w:type="dxa"/>
            <w:vAlign w:val="center"/>
          </w:tcPr>
          <w:p>
            <w:pPr>
              <w:jc w:val="center"/>
            </w:pPr>
            <w:r>
              <w:t>一级副釜</w:t>
            </w:r>
          </w:p>
        </w:tc>
        <w:tc>
          <w:tcPr>
            <w:tcW w:w="1086" w:type="dxa"/>
            <w:vAlign w:val="center"/>
          </w:tcPr>
          <w:p>
            <w:pPr>
              <w:jc w:val="center"/>
            </w:pPr>
            <w:r>
              <w:t>搪瓷，外壳</w:t>
            </w:r>
          </w:p>
          <w:p>
            <w:pPr>
              <w:jc w:val="center"/>
            </w:pPr>
            <w:r>
              <w:t>Q345R</w:t>
            </w:r>
          </w:p>
        </w:tc>
        <w:tc>
          <w:tcPr>
            <w:tcW w:w="1028" w:type="dxa"/>
            <w:vAlign w:val="center"/>
          </w:tcPr>
          <w:p>
            <w:pPr>
              <w:jc w:val="center"/>
            </w:pPr>
            <w:r>
              <w:t>8</w:t>
            </w:r>
          </w:p>
        </w:tc>
        <w:tc>
          <w:tcPr>
            <w:tcW w:w="1819" w:type="dxa"/>
            <w:vAlign w:val="center"/>
          </w:tcPr>
          <w:p>
            <w:pPr>
              <w:jc w:val="center"/>
            </w:pPr>
            <w:r>
              <w:t>F5000L</w:t>
            </w:r>
          </w:p>
          <w:p>
            <w:pPr>
              <w:jc w:val="center"/>
            </w:pPr>
            <w:r>
              <w:t>DN1750</w:t>
            </w:r>
            <w:r>
              <w:rPr>
                <w:rFonts w:ascii="Arial" w:hAnsi="Arial" w:cs="Arial"/>
              </w:rPr>
              <w:t>×</w:t>
            </w:r>
            <w:r>
              <w:t>2755</w:t>
            </w:r>
          </w:p>
        </w:tc>
        <w:tc>
          <w:tcPr>
            <w:tcW w:w="1594" w:type="dxa"/>
            <w:vAlign w:val="center"/>
          </w:tcPr>
          <w:p>
            <w:pPr>
              <w:jc w:val="center"/>
            </w:pPr>
            <w:r>
              <w:t>容器：100/130</w:t>
            </w:r>
          </w:p>
          <w:p>
            <w:pPr>
              <w:jc w:val="center"/>
            </w:pPr>
            <w:r>
              <w:t>夹套：150/180</w:t>
            </w:r>
          </w:p>
        </w:tc>
        <w:tc>
          <w:tcPr>
            <w:tcW w:w="1949" w:type="dxa"/>
            <w:vAlign w:val="center"/>
          </w:tcPr>
          <w:p>
            <w:pPr>
              <w:jc w:val="center"/>
            </w:pPr>
            <w:r>
              <w:t>容器：常压</w:t>
            </w:r>
            <w:r>
              <w:rPr>
                <w:rFonts w:hint="eastAsia"/>
              </w:rPr>
              <w:t>/</w:t>
            </w:r>
            <w:r>
              <w:t>常压</w:t>
            </w:r>
          </w:p>
          <w:p>
            <w:pPr>
              <w:jc w:val="center"/>
            </w:pPr>
            <w:r>
              <w:t>夹套：0.6</w:t>
            </w:r>
            <w:r>
              <w:rPr>
                <w:rFonts w:hint="eastAsia"/>
              </w:rPr>
              <w:t>/</w:t>
            </w:r>
            <w:r>
              <w:t>0.7</w:t>
            </w:r>
          </w:p>
        </w:tc>
        <w:tc>
          <w:tcPr>
            <w:tcW w:w="1524" w:type="dxa"/>
            <w:vAlign w:val="center"/>
          </w:tcPr>
          <w:p>
            <w:pPr>
              <w:jc w:val="center"/>
            </w:pPr>
            <w:r>
              <w:t>容器：氯气、液蜡、氯化氢</w:t>
            </w:r>
          </w:p>
          <w:p>
            <w:pPr>
              <w:jc w:val="center"/>
            </w:pPr>
            <w:r>
              <w:t>夹套：循环水、</w:t>
            </w:r>
          </w:p>
          <w:p>
            <w:pPr>
              <w:jc w:val="center"/>
            </w:pPr>
            <w:r>
              <w:t>低压蒸汽</w:t>
            </w:r>
          </w:p>
        </w:tc>
        <w:tc>
          <w:tcPr>
            <w:tcW w:w="944" w:type="dxa"/>
            <w:vAlign w:val="center"/>
          </w:tcPr>
          <w:p>
            <w:pPr>
              <w:jc w:val="center"/>
            </w:pPr>
            <w:r>
              <w:t>新购</w:t>
            </w:r>
          </w:p>
        </w:tc>
        <w:tc>
          <w:tcPr>
            <w:tcW w:w="1131" w:type="dxa"/>
            <w:vAlign w:val="center"/>
          </w:tcPr>
          <w:p>
            <w:pPr>
              <w:jc w:val="center"/>
              <w:rPr>
                <w:b/>
                <w:bCs/>
              </w:rPr>
            </w:pPr>
            <w:r>
              <w:t>8</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4" w:type="dxa"/>
            <w:vAlign w:val="center"/>
          </w:tcPr>
          <w:p>
            <w:pPr>
              <w:jc w:val="center"/>
            </w:pPr>
            <w:r>
              <w:t>2</w:t>
            </w:r>
          </w:p>
        </w:tc>
        <w:tc>
          <w:tcPr>
            <w:tcW w:w="1404" w:type="dxa"/>
            <w:vAlign w:val="center"/>
          </w:tcPr>
          <w:p>
            <w:pPr>
              <w:jc w:val="center"/>
            </w:pPr>
            <w:r>
              <w:t>二级副釜</w:t>
            </w:r>
          </w:p>
        </w:tc>
        <w:tc>
          <w:tcPr>
            <w:tcW w:w="1086" w:type="dxa"/>
            <w:vAlign w:val="center"/>
          </w:tcPr>
          <w:p>
            <w:pPr>
              <w:jc w:val="center"/>
            </w:pPr>
            <w:r>
              <w:t>搪瓷，外壳</w:t>
            </w:r>
          </w:p>
          <w:p>
            <w:pPr>
              <w:jc w:val="center"/>
            </w:pPr>
            <w:r>
              <w:t>Q345R</w:t>
            </w:r>
          </w:p>
        </w:tc>
        <w:tc>
          <w:tcPr>
            <w:tcW w:w="1028" w:type="dxa"/>
            <w:vAlign w:val="center"/>
          </w:tcPr>
          <w:p>
            <w:pPr>
              <w:jc w:val="center"/>
            </w:pPr>
            <w:r>
              <w:t>8</w:t>
            </w:r>
          </w:p>
        </w:tc>
        <w:tc>
          <w:tcPr>
            <w:tcW w:w="1819" w:type="dxa"/>
            <w:vAlign w:val="center"/>
          </w:tcPr>
          <w:p>
            <w:pPr>
              <w:jc w:val="center"/>
            </w:pPr>
            <w:r>
              <w:t>F5000L</w:t>
            </w:r>
          </w:p>
          <w:p>
            <w:pPr>
              <w:jc w:val="center"/>
            </w:pPr>
            <w:r>
              <w:t>DN1750</w:t>
            </w:r>
            <w:r>
              <w:rPr>
                <w:rFonts w:ascii="Arial" w:hAnsi="Arial" w:cs="Arial"/>
              </w:rPr>
              <w:t>×</w:t>
            </w:r>
            <w:r>
              <w:t>2755</w:t>
            </w:r>
          </w:p>
        </w:tc>
        <w:tc>
          <w:tcPr>
            <w:tcW w:w="1594" w:type="dxa"/>
            <w:vAlign w:val="center"/>
          </w:tcPr>
          <w:p>
            <w:pPr>
              <w:jc w:val="center"/>
            </w:pPr>
            <w:r>
              <w:t>容器：100/130</w:t>
            </w:r>
          </w:p>
          <w:p>
            <w:pPr>
              <w:jc w:val="center"/>
            </w:pPr>
            <w:r>
              <w:t>夹套：150/180</w:t>
            </w:r>
          </w:p>
        </w:tc>
        <w:tc>
          <w:tcPr>
            <w:tcW w:w="1949" w:type="dxa"/>
            <w:vAlign w:val="center"/>
          </w:tcPr>
          <w:p>
            <w:pPr>
              <w:jc w:val="center"/>
            </w:pPr>
            <w:r>
              <w:t>容器：常压</w:t>
            </w:r>
            <w:r>
              <w:rPr>
                <w:rFonts w:hint="eastAsia"/>
                <w:lang w:val="en-US" w:eastAsia="zh-CN"/>
              </w:rPr>
              <w:t>/</w:t>
            </w:r>
            <w:r>
              <w:t>常压</w:t>
            </w:r>
          </w:p>
          <w:p>
            <w:pPr>
              <w:jc w:val="center"/>
            </w:pPr>
            <w:r>
              <w:t>夹套：0.6</w:t>
            </w:r>
            <w:r>
              <w:rPr>
                <w:rFonts w:hint="eastAsia"/>
              </w:rPr>
              <w:t>/</w:t>
            </w:r>
            <w:r>
              <w:t>0.7</w:t>
            </w:r>
          </w:p>
        </w:tc>
        <w:tc>
          <w:tcPr>
            <w:tcW w:w="1524" w:type="dxa"/>
            <w:vAlign w:val="center"/>
          </w:tcPr>
          <w:p>
            <w:pPr>
              <w:jc w:val="center"/>
            </w:pPr>
            <w:r>
              <w:t>容器：氯气、液蜡、氯化氢</w:t>
            </w:r>
          </w:p>
          <w:p>
            <w:pPr>
              <w:jc w:val="center"/>
            </w:pPr>
            <w:r>
              <w:t>夹套：循环水、</w:t>
            </w:r>
          </w:p>
          <w:p>
            <w:pPr>
              <w:jc w:val="center"/>
            </w:pPr>
            <w:r>
              <w:t>低压蒸汽</w:t>
            </w:r>
          </w:p>
        </w:tc>
        <w:tc>
          <w:tcPr>
            <w:tcW w:w="944" w:type="dxa"/>
            <w:vAlign w:val="center"/>
          </w:tcPr>
          <w:p>
            <w:pPr>
              <w:jc w:val="center"/>
            </w:pPr>
            <w:r>
              <w:t>新购</w:t>
            </w:r>
          </w:p>
        </w:tc>
        <w:tc>
          <w:tcPr>
            <w:tcW w:w="1131" w:type="dxa"/>
            <w:vAlign w:val="center"/>
          </w:tcPr>
          <w:p>
            <w:pPr>
              <w:jc w:val="center"/>
              <w:rPr>
                <w:b/>
                <w:bCs/>
              </w:rPr>
            </w:pPr>
            <w:r>
              <w:t>8</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6" w:type="dxa"/>
            <w:gridSpan w:val="11"/>
            <w:vAlign w:val="center"/>
          </w:tcPr>
          <w:p>
            <w:pPr>
              <w:jc w:val="center"/>
              <w:rPr>
                <w:b/>
                <w:bCs/>
              </w:rPr>
            </w:pPr>
            <w:r>
              <w:rPr>
                <w:rFonts w:hint="eastAsia" w:ascii="宋体" w:hAnsi="宋体"/>
                <w:b/>
                <w:bCs/>
                <w:color w:val="000000"/>
                <w:sz w:val="24"/>
              </w:rPr>
              <w:t>容器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3</w:t>
            </w:r>
          </w:p>
        </w:tc>
        <w:tc>
          <w:tcPr>
            <w:tcW w:w="1404" w:type="dxa"/>
            <w:vAlign w:val="center"/>
          </w:tcPr>
          <w:p>
            <w:pPr>
              <w:jc w:val="center"/>
              <w:rPr>
                <w:color w:val="auto"/>
              </w:rPr>
            </w:pPr>
            <w:r>
              <w:rPr>
                <w:rFonts w:hint="eastAsia"/>
                <w:color w:val="auto"/>
              </w:rPr>
              <w:t>液蜡化学精制器</w:t>
            </w:r>
          </w:p>
        </w:tc>
        <w:tc>
          <w:tcPr>
            <w:tcW w:w="1086" w:type="dxa"/>
            <w:vAlign w:val="center"/>
          </w:tcPr>
          <w:p>
            <w:pPr>
              <w:jc w:val="center"/>
              <w:rPr>
                <w:color w:val="auto"/>
              </w:rPr>
            </w:pPr>
            <w:r>
              <w:rPr>
                <w:rFonts w:hint="eastAsia"/>
                <w:color w:val="auto"/>
              </w:rPr>
              <w:t>FRP</w:t>
            </w:r>
          </w:p>
        </w:tc>
        <w:tc>
          <w:tcPr>
            <w:tcW w:w="1028" w:type="dxa"/>
            <w:vAlign w:val="center"/>
          </w:tcPr>
          <w:p>
            <w:pPr>
              <w:jc w:val="center"/>
              <w:rPr>
                <w:color w:val="auto"/>
              </w:rPr>
            </w:pPr>
            <w:r>
              <w:rPr>
                <w:rFonts w:hint="eastAsia"/>
                <w:color w:val="auto"/>
              </w:rPr>
              <w:t>8</w:t>
            </w:r>
          </w:p>
        </w:tc>
        <w:tc>
          <w:tcPr>
            <w:tcW w:w="1819" w:type="dxa"/>
            <w:vAlign w:val="center"/>
          </w:tcPr>
          <w:p>
            <w:pPr>
              <w:jc w:val="center"/>
            </w:pPr>
            <w:r>
              <w:rPr>
                <w:rFonts w:hint="eastAsia"/>
              </w:rPr>
              <w:t>DN800</w:t>
            </w:r>
            <w:r>
              <w:rPr>
                <w:rFonts w:ascii="Arial" w:hAnsi="Arial" w:cs="Arial"/>
              </w:rPr>
              <w:t>×</w:t>
            </w:r>
            <w:r>
              <w:rPr>
                <w:rFonts w:hint="eastAsia"/>
              </w:rPr>
              <w:t>4600</w:t>
            </w:r>
          </w:p>
        </w:tc>
        <w:tc>
          <w:tcPr>
            <w:tcW w:w="1594" w:type="dxa"/>
            <w:vAlign w:val="center"/>
          </w:tcPr>
          <w:p>
            <w:pPr>
              <w:jc w:val="center"/>
            </w:pPr>
            <w:r>
              <w:rPr>
                <w:rFonts w:hint="eastAsia"/>
              </w:rPr>
              <w:t>80/120</w:t>
            </w:r>
          </w:p>
        </w:tc>
        <w:tc>
          <w:tcPr>
            <w:tcW w:w="1949" w:type="dxa"/>
            <w:vAlign w:val="center"/>
          </w:tcPr>
          <w:p>
            <w:pPr>
              <w:jc w:val="center"/>
            </w:pPr>
            <w:r>
              <w:rPr>
                <w:rFonts w:hint="eastAsia"/>
              </w:rPr>
              <w:t>常压</w:t>
            </w:r>
            <w:r>
              <w:rPr>
                <w:rFonts w:hint="eastAsia"/>
                <w:lang w:val="en-US" w:eastAsia="zh-CN"/>
              </w:rPr>
              <w:t>/</w:t>
            </w:r>
            <w:r>
              <w:rPr>
                <w:rFonts w:hint="eastAsia"/>
              </w:rPr>
              <w:t>常压</w:t>
            </w:r>
          </w:p>
        </w:tc>
        <w:tc>
          <w:tcPr>
            <w:tcW w:w="1524" w:type="dxa"/>
            <w:vAlign w:val="center"/>
          </w:tcPr>
          <w:p>
            <w:pPr>
              <w:jc w:val="center"/>
            </w:pPr>
            <w:r>
              <w:rPr>
                <w:rFonts w:hint="eastAsia"/>
              </w:rPr>
              <w:t>液蜡、氯化氢、</w:t>
            </w:r>
          </w:p>
          <w:p>
            <w:pPr>
              <w:jc w:val="center"/>
            </w:pPr>
            <w:r>
              <w:rPr>
                <w:rFonts w:hint="eastAsia"/>
              </w:rPr>
              <w:t>盐酸</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8</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4</w:t>
            </w:r>
          </w:p>
        </w:tc>
        <w:tc>
          <w:tcPr>
            <w:tcW w:w="1404" w:type="dxa"/>
            <w:vAlign w:val="center"/>
          </w:tcPr>
          <w:p>
            <w:pPr>
              <w:jc w:val="center"/>
              <w:rPr>
                <w:color w:val="auto"/>
              </w:rPr>
            </w:pPr>
            <w:r>
              <w:rPr>
                <w:rFonts w:hint="eastAsia"/>
                <w:color w:val="auto"/>
              </w:rPr>
              <w:t>精制油水分离器</w:t>
            </w:r>
          </w:p>
        </w:tc>
        <w:tc>
          <w:tcPr>
            <w:tcW w:w="1086" w:type="dxa"/>
            <w:vAlign w:val="center"/>
          </w:tcPr>
          <w:p>
            <w:pPr>
              <w:jc w:val="center"/>
              <w:rPr>
                <w:color w:val="auto"/>
              </w:rPr>
            </w:pPr>
            <w:r>
              <w:rPr>
                <w:rFonts w:hint="eastAsia"/>
                <w:color w:val="auto"/>
              </w:rPr>
              <w:t>FRP</w:t>
            </w:r>
          </w:p>
        </w:tc>
        <w:tc>
          <w:tcPr>
            <w:tcW w:w="1028" w:type="dxa"/>
            <w:vAlign w:val="center"/>
          </w:tcPr>
          <w:p>
            <w:pPr>
              <w:jc w:val="center"/>
              <w:rPr>
                <w:color w:val="auto"/>
              </w:rPr>
            </w:pPr>
            <w:r>
              <w:rPr>
                <w:rFonts w:hint="eastAsia"/>
                <w:color w:val="auto"/>
              </w:rPr>
              <w:t>8</w:t>
            </w:r>
          </w:p>
        </w:tc>
        <w:tc>
          <w:tcPr>
            <w:tcW w:w="1819" w:type="dxa"/>
            <w:vAlign w:val="center"/>
          </w:tcPr>
          <w:p>
            <w:pPr>
              <w:jc w:val="center"/>
            </w:pPr>
            <w:r>
              <w:rPr>
                <w:rFonts w:hint="eastAsia"/>
              </w:rPr>
              <w:t>DN400</w:t>
            </w:r>
            <w:r>
              <w:rPr>
                <w:rFonts w:ascii="Arial" w:hAnsi="Arial" w:cs="Arial"/>
              </w:rPr>
              <w:t>×</w:t>
            </w:r>
            <w:r>
              <w:rPr>
                <w:rFonts w:hint="eastAsia"/>
              </w:rPr>
              <w:t>1000 锥底500</w:t>
            </w:r>
          </w:p>
        </w:tc>
        <w:tc>
          <w:tcPr>
            <w:tcW w:w="1594" w:type="dxa"/>
            <w:vAlign w:val="center"/>
          </w:tcPr>
          <w:p>
            <w:pPr>
              <w:jc w:val="center"/>
            </w:pPr>
            <w:r>
              <w:rPr>
                <w:rFonts w:hint="eastAsia"/>
              </w:rPr>
              <w:t>80/120</w:t>
            </w:r>
          </w:p>
        </w:tc>
        <w:tc>
          <w:tcPr>
            <w:tcW w:w="1949" w:type="dxa"/>
            <w:vAlign w:val="center"/>
          </w:tcPr>
          <w:p>
            <w:pPr>
              <w:jc w:val="center"/>
            </w:pPr>
            <w:r>
              <w:rPr>
                <w:rFonts w:hint="eastAsia"/>
              </w:rPr>
              <w:t>常压</w:t>
            </w:r>
            <w:r>
              <w:rPr>
                <w:rFonts w:hint="eastAsia"/>
                <w:lang w:val="en-US" w:eastAsia="zh-CN"/>
              </w:rPr>
              <w:t>/</w:t>
            </w:r>
            <w:r>
              <w:rPr>
                <w:rFonts w:hint="eastAsia"/>
              </w:rPr>
              <w:t>常压</w:t>
            </w:r>
          </w:p>
        </w:tc>
        <w:tc>
          <w:tcPr>
            <w:tcW w:w="1524" w:type="dxa"/>
            <w:vAlign w:val="center"/>
          </w:tcPr>
          <w:p>
            <w:pPr>
              <w:jc w:val="center"/>
            </w:pPr>
            <w:r>
              <w:rPr>
                <w:rFonts w:hint="eastAsia"/>
              </w:rPr>
              <w:t>液蜡、氯化氢</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8</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5</w:t>
            </w:r>
          </w:p>
        </w:tc>
        <w:tc>
          <w:tcPr>
            <w:tcW w:w="1404" w:type="dxa"/>
            <w:vAlign w:val="center"/>
          </w:tcPr>
          <w:p>
            <w:pPr>
              <w:jc w:val="center"/>
              <w:rPr>
                <w:color w:val="auto"/>
              </w:rPr>
            </w:pPr>
            <w:r>
              <w:rPr>
                <w:rFonts w:hint="eastAsia"/>
                <w:color w:val="auto"/>
              </w:rPr>
              <w:t>一级氯化分离器</w:t>
            </w:r>
          </w:p>
        </w:tc>
        <w:tc>
          <w:tcPr>
            <w:tcW w:w="1086" w:type="dxa"/>
            <w:vAlign w:val="center"/>
          </w:tcPr>
          <w:p>
            <w:pPr>
              <w:jc w:val="center"/>
              <w:rPr>
                <w:color w:val="auto"/>
              </w:rPr>
            </w:pPr>
            <w:r>
              <w:rPr>
                <w:rFonts w:hint="eastAsia"/>
                <w:color w:val="auto"/>
              </w:rPr>
              <w:t>FRP</w:t>
            </w:r>
          </w:p>
        </w:tc>
        <w:tc>
          <w:tcPr>
            <w:tcW w:w="1028" w:type="dxa"/>
            <w:vAlign w:val="center"/>
          </w:tcPr>
          <w:p>
            <w:pPr>
              <w:jc w:val="center"/>
              <w:rPr>
                <w:color w:val="auto"/>
              </w:rPr>
            </w:pPr>
            <w:r>
              <w:rPr>
                <w:rFonts w:hint="eastAsia"/>
                <w:color w:val="auto"/>
              </w:rPr>
              <w:t>8</w:t>
            </w:r>
          </w:p>
        </w:tc>
        <w:tc>
          <w:tcPr>
            <w:tcW w:w="1819" w:type="dxa"/>
            <w:vAlign w:val="center"/>
          </w:tcPr>
          <w:p>
            <w:pPr>
              <w:jc w:val="center"/>
            </w:pPr>
            <w:r>
              <w:rPr>
                <w:rFonts w:hint="eastAsia"/>
              </w:rPr>
              <w:t>DN900</w:t>
            </w:r>
            <w:r>
              <w:rPr>
                <w:rFonts w:ascii="Arial" w:hAnsi="Arial" w:cs="Arial"/>
              </w:rPr>
              <w:t>×</w:t>
            </w:r>
            <w:r>
              <w:rPr>
                <w:rFonts w:hint="eastAsia"/>
              </w:rPr>
              <w:t>1300</w:t>
            </w:r>
          </w:p>
          <w:p>
            <w:pPr>
              <w:jc w:val="center"/>
            </w:pPr>
            <w:r>
              <w:rPr>
                <w:rFonts w:hint="eastAsia"/>
              </w:rPr>
              <w:t>（全长2000）；</w:t>
            </w:r>
          </w:p>
          <w:p>
            <w:pPr>
              <w:jc w:val="center"/>
            </w:pPr>
            <w:r>
              <w:rPr>
                <w:rFonts w:hint="eastAsia"/>
              </w:rPr>
              <w:t>V=0.85m3</w:t>
            </w:r>
          </w:p>
        </w:tc>
        <w:tc>
          <w:tcPr>
            <w:tcW w:w="1594" w:type="dxa"/>
            <w:vAlign w:val="center"/>
          </w:tcPr>
          <w:p>
            <w:pPr>
              <w:jc w:val="center"/>
            </w:pPr>
            <w:r>
              <w:rPr>
                <w:rFonts w:hint="eastAsia"/>
              </w:rPr>
              <w:t>120/150</w:t>
            </w:r>
          </w:p>
        </w:tc>
        <w:tc>
          <w:tcPr>
            <w:tcW w:w="1949" w:type="dxa"/>
            <w:vAlign w:val="center"/>
          </w:tcPr>
          <w:p>
            <w:pPr>
              <w:jc w:val="center"/>
            </w:pPr>
            <w:r>
              <w:rPr>
                <w:rFonts w:hint="eastAsia"/>
              </w:rPr>
              <w:t>0.06~0.08/0.1</w:t>
            </w:r>
          </w:p>
        </w:tc>
        <w:tc>
          <w:tcPr>
            <w:tcW w:w="1524" w:type="dxa"/>
            <w:vAlign w:val="center"/>
          </w:tcPr>
          <w:p>
            <w:pPr>
              <w:jc w:val="center"/>
            </w:pPr>
            <w:r>
              <w:rPr>
                <w:rFonts w:hint="eastAsia"/>
              </w:rPr>
              <w:t>氯气、液蜡、氯化石蜡、氯化氢等</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8</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6</w:t>
            </w:r>
          </w:p>
        </w:tc>
        <w:tc>
          <w:tcPr>
            <w:tcW w:w="1404" w:type="dxa"/>
            <w:vAlign w:val="center"/>
          </w:tcPr>
          <w:p>
            <w:pPr>
              <w:jc w:val="center"/>
            </w:pPr>
            <w:r>
              <w:rPr>
                <w:rFonts w:hint="eastAsia"/>
              </w:rPr>
              <w:t>二级氯化分离器</w:t>
            </w:r>
          </w:p>
        </w:tc>
        <w:tc>
          <w:tcPr>
            <w:tcW w:w="1086" w:type="dxa"/>
            <w:vAlign w:val="center"/>
          </w:tcPr>
          <w:p>
            <w:pPr>
              <w:jc w:val="center"/>
            </w:pPr>
            <w:r>
              <w:rPr>
                <w:rFonts w:hint="eastAsia"/>
              </w:rPr>
              <w:t>FRP</w:t>
            </w:r>
          </w:p>
        </w:tc>
        <w:tc>
          <w:tcPr>
            <w:tcW w:w="1028" w:type="dxa"/>
            <w:vAlign w:val="center"/>
          </w:tcPr>
          <w:p>
            <w:pPr>
              <w:jc w:val="center"/>
            </w:pPr>
            <w:r>
              <w:rPr>
                <w:rFonts w:hint="eastAsia"/>
              </w:rPr>
              <w:t>8</w:t>
            </w:r>
          </w:p>
        </w:tc>
        <w:tc>
          <w:tcPr>
            <w:tcW w:w="1819" w:type="dxa"/>
            <w:vAlign w:val="center"/>
          </w:tcPr>
          <w:p>
            <w:pPr>
              <w:jc w:val="center"/>
            </w:pPr>
            <w:r>
              <w:rPr>
                <w:rFonts w:hint="eastAsia"/>
              </w:rPr>
              <w:t>DN900</w:t>
            </w:r>
            <w:r>
              <w:rPr>
                <w:rFonts w:ascii="Arial" w:hAnsi="Arial" w:cs="Arial"/>
              </w:rPr>
              <w:t>×</w:t>
            </w:r>
            <w:r>
              <w:rPr>
                <w:rFonts w:hint="eastAsia"/>
              </w:rPr>
              <w:t>1300</w:t>
            </w:r>
          </w:p>
          <w:p>
            <w:pPr>
              <w:jc w:val="center"/>
            </w:pPr>
            <w:r>
              <w:rPr>
                <w:rFonts w:hint="eastAsia"/>
              </w:rPr>
              <w:t>（全长2000）：</w:t>
            </w:r>
          </w:p>
          <w:p>
            <w:pPr>
              <w:jc w:val="center"/>
            </w:pPr>
            <w:r>
              <w:rPr>
                <w:rFonts w:hint="eastAsia"/>
              </w:rPr>
              <w:t>V=0.85m</w:t>
            </w:r>
            <w:r>
              <w:rPr>
                <w:rFonts w:hint="eastAsia"/>
                <w:vertAlign w:val="superscript"/>
              </w:rPr>
              <w:t>3</w:t>
            </w:r>
          </w:p>
        </w:tc>
        <w:tc>
          <w:tcPr>
            <w:tcW w:w="1594" w:type="dxa"/>
            <w:vAlign w:val="center"/>
          </w:tcPr>
          <w:p>
            <w:pPr>
              <w:jc w:val="center"/>
            </w:pPr>
            <w:r>
              <w:rPr>
                <w:rFonts w:hint="eastAsia"/>
              </w:rPr>
              <w:t>120/150</w:t>
            </w:r>
          </w:p>
        </w:tc>
        <w:tc>
          <w:tcPr>
            <w:tcW w:w="1949" w:type="dxa"/>
            <w:vAlign w:val="center"/>
          </w:tcPr>
          <w:p>
            <w:pPr>
              <w:jc w:val="center"/>
            </w:pPr>
            <w:r>
              <w:rPr>
                <w:rFonts w:hint="eastAsia"/>
              </w:rPr>
              <w:t>0.06~0.08/0.1</w:t>
            </w:r>
          </w:p>
        </w:tc>
        <w:tc>
          <w:tcPr>
            <w:tcW w:w="1524" w:type="dxa"/>
            <w:vAlign w:val="center"/>
          </w:tcPr>
          <w:p>
            <w:pPr>
              <w:jc w:val="center"/>
            </w:pPr>
            <w:r>
              <w:rPr>
                <w:rFonts w:hint="eastAsia"/>
              </w:rPr>
              <w:t>氯气、液蜡、氯化石蜡、氯化氢等</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8</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7</w:t>
            </w:r>
          </w:p>
        </w:tc>
        <w:tc>
          <w:tcPr>
            <w:tcW w:w="1404" w:type="dxa"/>
            <w:vAlign w:val="center"/>
          </w:tcPr>
          <w:p>
            <w:pPr>
              <w:jc w:val="center"/>
            </w:pPr>
            <w:r>
              <w:rPr>
                <w:rFonts w:hint="eastAsia"/>
              </w:rPr>
              <w:t>三级氯化分离器</w:t>
            </w:r>
          </w:p>
        </w:tc>
        <w:tc>
          <w:tcPr>
            <w:tcW w:w="1086" w:type="dxa"/>
            <w:vAlign w:val="center"/>
          </w:tcPr>
          <w:p>
            <w:pPr>
              <w:jc w:val="center"/>
            </w:pPr>
            <w:r>
              <w:rPr>
                <w:rFonts w:hint="eastAsia"/>
              </w:rPr>
              <w:t>FRP</w:t>
            </w:r>
          </w:p>
        </w:tc>
        <w:tc>
          <w:tcPr>
            <w:tcW w:w="1028" w:type="dxa"/>
            <w:vAlign w:val="center"/>
          </w:tcPr>
          <w:p>
            <w:pPr>
              <w:jc w:val="center"/>
            </w:pPr>
            <w:r>
              <w:rPr>
                <w:rFonts w:hint="eastAsia"/>
              </w:rPr>
              <w:t>8</w:t>
            </w:r>
          </w:p>
        </w:tc>
        <w:tc>
          <w:tcPr>
            <w:tcW w:w="1819" w:type="dxa"/>
            <w:vAlign w:val="center"/>
          </w:tcPr>
          <w:p>
            <w:pPr>
              <w:jc w:val="center"/>
            </w:pPr>
            <w:r>
              <w:rPr>
                <w:rFonts w:hint="eastAsia"/>
              </w:rPr>
              <w:t>DN900</w:t>
            </w:r>
            <w:r>
              <w:rPr>
                <w:rFonts w:ascii="Arial" w:hAnsi="Arial" w:cs="Arial"/>
              </w:rPr>
              <w:t>×</w:t>
            </w:r>
            <w:r>
              <w:rPr>
                <w:rFonts w:hint="eastAsia"/>
              </w:rPr>
              <w:t>1300</w:t>
            </w:r>
          </w:p>
          <w:p>
            <w:pPr>
              <w:jc w:val="center"/>
            </w:pPr>
            <w:r>
              <w:rPr>
                <w:rFonts w:hint="eastAsia"/>
              </w:rPr>
              <w:t>（全长2000）：</w:t>
            </w:r>
          </w:p>
          <w:p>
            <w:pPr>
              <w:jc w:val="center"/>
            </w:pPr>
            <w:r>
              <w:rPr>
                <w:rFonts w:hint="eastAsia"/>
              </w:rPr>
              <w:t>V=0.85m</w:t>
            </w:r>
            <w:r>
              <w:rPr>
                <w:rFonts w:hint="eastAsia"/>
                <w:vertAlign w:val="superscript"/>
              </w:rPr>
              <w:t>3</w:t>
            </w:r>
          </w:p>
        </w:tc>
        <w:tc>
          <w:tcPr>
            <w:tcW w:w="1594" w:type="dxa"/>
            <w:vAlign w:val="center"/>
          </w:tcPr>
          <w:p>
            <w:pPr>
              <w:jc w:val="center"/>
            </w:pPr>
            <w:r>
              <w:rPr>
                <w:rFonts w:hint="eastAsia"/>
              </w:rPr>
              <w:t>120/150</w:t>
            </w:r>
          </w:p>
        </w:tc>
        <w:tc>
          <w:tcPr>
            <w:tcW w:w="1949" w:type="dxa"/>
            <w:vAlign w:val="center"/>
          </w:tcPr>
          <w:p>
            <w:pPr>
              <w:jc w:val="center"/>
            </w:pPr>
            <w:r>
              <w:rPr>
                <w:rFonts w:hint="eastAsia"/>
              </w:rPr>
              <w:t>0.06~0.08/0.1</w:t>
            </w:r>
          </w:p>
        </w:tc>
        <w:tc>
          <w:tcPr>
            <w:tcW w:w="1524" w:type="dxa"/>
            <w:vAlign w:val="center"/>
          </w:tcPr>
          <w:p>
            <w:pPr>
              <w:jc w:val="center"/>
            </w:pPr>
            <w:r>
              <w:rPr>
                <w:rFonts w:hint="eastAsia"/>
              </w:rPr>
              <w:t>氯气、液蜡、氯化石蜡、氯化氢等</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8</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8</w:t>
            </w:r>
          </w:p>
        </w:tc>
        <w:tc>
          <w:tcPr>
            <w:tcW w:w="1404" w:type="dxa"/>
            <w:vAlign w:val="center"/>
          </w:tcPr>
          <w:p>
            <w:pPr>
              <w:jc w:val="center"/>
            </w:pPr>
            <w:r>
              <w:rPr>
                <w:rFonts w:hint="eastAsia"/>
              </w:rPr>
              <w:t>四级氯化分离器</w:t>
            </w:r>
          </w:p>
        </w:tc>
        <w:tc>
          <w:tcPr>
            <w:tcW w:w="1086" w:type="dxa"/>
            <w:vAlign w:val="center"/>
          </w:tcPr>
          <w:p>
            <w:pPr>
              <w:jc w:val="center"/>
            </w:pPr>
            <w:r>
              <w:rPr>
                <w:rFonts w:hint="eastAsia"/>
              </w:rPr>
              <w:t>FRP</w:t>
            </w:r>
          </w:p>
        </w:tc>
        <w:tc>
          <w:tcPr>
            <w:tcW w:w="1028" w:type="dxa"/>
            <w:vAlign w:val="center"/>
          </w:tcPr>
          <w:p>
            <w:pPr>
              <w:jc w:val="center"/>
            </w:pPr>
            <w:r>
              <w:rPr>
                <w:rFonts w:hint="eastAsia"/>
              </w:rPr>
              <w:t>8</w:t>
            </w:r>
          </w:p>
        </w:tc>
        <w:tc>
          <w:tcPr>
            <w:tcW w:w="1819" w:type="dxa"/>
            <w:vAlign w:val="center"/>
          </w:tcPr>
          <w:p>
            <w:pPr>
              <w:jc w:val="center"/>
            </w:pPr>
            <w:r>
              <w:rPr>
                <w:rFonts w:hint="eastAsia"/>
              </w:rPr>
              <w:t>DN900</w:t>
            </w:r>
            <w:r>
              <w:rPr>
                <w:rFonts w:ascii="Arial" w:hAnsi="Arial" w:cs="Arial"/>
              </w:rPr>
              <w:t>×</w:t>
            </w:r>
            <w:r>
              <w:rPr>
                <w:rFonts w:hint="eastAsia"/>
              </w:rPr>
              <w:t>1300</w:t>
            </w:r>
          </w:p>
          <w:p>
            <w:pPr>
              <w:jc w:val="center"/>
            </w:pPr>
            <w:r>
              <w:rPr>
                <w:rFonts w:hint="eastAsia"/>
              </w:rPr>
              <w:t>（全长2000）：</w:t>
            </w:r>
          </w:p>
          <w:p>
            <w:pPr>
              <w:jc w:val="center"/>
            </w:pPr>
            <w:r>
              <w:rPr>
                <w:rFonts w:hint="eastAsia"/>
              </w:rPr>
              <w:t>V=0.85m</w:t>
            </w:r>
            <w:r>
              <w:rPr>
                <w:rFonts w:hint="eastAsia"/>
                <w:vertAlign w:val="superscript"/>
              </w:rPr>
              <w:t>3</w:t>
            </w:r>
          </w:p>
        </w:tc>
        <w:tc>
          <w:tcPr>
            <w:tcW w:w="1594" w:type="dxa"/>
            <w:vAlign w:val="center"/>
          </w:tcPr>
          <w:p>
            <w:pPr>
              <w:jc w:val="center"/>
            </w:pPr>
            <w:r>
              <w:rPr>
                <w:rFonts w:hint="eastAsia"/>
              </w:rPr>
              <w:t>120/150</w:t>
            </w:r>
          </w:p>
        </w:tc>
        <w:tc>
          <w:tcPr>
            <w:tcW w:w="1949" w:type="dxa"/>
            <w:vAlign w:val="center"/>
          </w:tcPr>
          <w:p>
            <w:pPr>
              <w:jc w:val="center"/>
            </w:pPr>
            <w:r>
              <w:rPr>
                <w:rFonts w:hint="eastAsia"/>
              </w:rPr>
              <w:t>0.06~0.08/0.1</w:t>
            </w:r>
          </w:p>
        </w:tc>
        <w:tc>
          <w:tcPr>
            <w:tcW w:w="1524" w:type="dxa"/>
            <w:vAlign w:val="center"/>
          </w:tcPr>
          <w:p>
            <w:pPr>
              <w:jc w:val="center"/>
            </w:pPr>
            <w:r>
              <w:rPr>
                <w:rFonts w:hint="eastAsia"/>
              </w:rPr>
              <w:t>氯气、液蜡、氯化石蜡、氯化氢等</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8</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9</w:t>
            </w:r>
          </w:p>
        </w:tc>
        <w:tc>
          <w:tcPr>
            <w:tcW w:w="1404" w:type="dxa"/>
            <w:vAlign w:val="center"/>
          </w:tcPr>
          <w:p>
            <w:pPr>
              <w:jc w:val="center"/>
            </w:pPr>
            <w:r>
              <w:rPr>
                <w:rFonts w:hint="eastAsia"/>
              </w:rPr>
              <w:t>五级氯化分离器</w:t>
            </w:r>
          </w:p>
        </w:tc>
        <w:tc>
          <w:tcPr>
            <w:tcW w:w="1086" w:type="dxa"/>
            <w:vAlign w:val="center"/>
          </w:tcPr>
          <w:p>
            <w:pPr>
              <w:jc w:val="center"/>
            </w:pPr>
            <w:r>
              <w:rPr>
                <w:rFonts w:hint="eastAsia"/>
              </w:rPr>
              <w:t>FRP</w:t>
            </w:r>
          </w:p>
        </w:tc>
        <w:tc>
          <w:tcPr>
            <w:tcW w:w="1028" w:type="dxa"/>
            <w:vAlign w:val="center"/>
          </w:tcPr>
          <w:p>
            <w:pPr>
              <w:jc w:val="center"/>
            </w:pPr>
            <w:r>
              <w:rPr>
                <w:rFonts w:hint="eastAsia"/>
              </w:rPr>
              <w:t>8</w:t>
            </w:r>
          </w:p>
        </w:tc>
        <w:tc>
          <w:tcPr>
            <w:tcW w:w="1819" w:type="dxa"/>
            <w:vAlign w:val="center"/>
          </w:tcPr>
          <w:p>
            <w:pPr>
              <w:jc w:val="center"/>
            </w:pPr>
            <w:r>
              <w:rPr>
                <w:rFonts w:hint="eastAsia"/>
              </w:rPr>
              <w:t>DN900</w:t>
            </w:r>
            <w:r>
              <w:rPr>
                <w:rFonts w:ascii="Arial" w:hAnsi="Arial" w:cs="Arial"/>
              </w:rPr>
              <w:t>×</w:t>
            </w:r>
            <w:r>
              <w:rPr>
                <w:rFonts w:hint="eastAsia"/>
              </w:rPr>
              <w:t>1300</w:t>
            </w:r>
          </w:p>
          <w:p>
            <w:pPr>
              <w:jc w:val="center"/>
            </w:pPr>
            <w:r>
              <w:rPr>
                <w:rFonts w:hint="eastAsia"/>
              </w:rPr>
              <w:t>（全长2000）：</w:t>
            </w:r>
          </w:p>
          <w:p>
            <w:pPr>
              <w:jc w:val="center"/>
            </w:pPr>
            <w:r>
              <w:rPr>
                <w:rFonts w:hint="eastAsia"/>
              </w:rPr>
              <w:t>V=0.85m</w:t>
            </w:r>
            <w:r>
              <w:rPr>
                <w:rFonts w:hint="eastAsia"/>
                <w:vertAlign w:val="superscript"/>
              </w:rPr>
              <w:t>3</w:t>
            </w:r>
          </w:p>
        </w:tc>
        <w:tc>
          <w:tcPr>
            <w:tcW w:w="1594" w:type="dxa"/>
            <w:vAlign w:val="center"/>
          </w:tcPr>
          <w:p>
            <w:pPr>
              <w:jc w:val="center"/>
            </w:pPr>
            <w:r>
              <w:rPr>
                <w:rFonts w:hint="eastAsia"/>
              </w:rPr>
              <w:t>120/150</w:t>
            </w:r>
          </w:p>
        </w:tc>
        <w:tc>
          <w:tcPr>
            <w:tcW w:w="1949" w:type="dxa"/>
            <w:vAlign w:val="center"/>
          </w:tcPr>
          <w:p>
            <w:pPr>
              <w:jc w:val="center"/>
            </w:pPr>
            <w:r>
              <w:rPr>
                <w:rFonts w:hint="eastAsia"/>
              </w:rPr>
              <w:t>0.06~0.08/0.1</w:t>
            </w:r>
          </w:p>
        </w:tc>
        <w:tc>
          <w:tcPr>
            <w:tcW w:w="1524" w:type="dxa"/>
            <w:vAlign w:val="center"/>
          </w:tcPr>
          <w:p>
            <w:pPr>
              <w:jc w:val="center"/>
            </w:pPr>
            <w:r>
              <w:rPr>
                <w:rFonts w:hint="eastAsia"/>
              </w:rPr>
              <w:t>氯气、液蜡、氯化石蜡、氯化氢等</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8</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10</w:t>
            </w:r>
          </w:p>
        </w:tc>
        <w:tc>
          <w:tcPr>
            <w:tcW w:w="1404" w:type="dxa"/>
            <w:vAlign w:val="center"/>
          </w:tcPr>
          <w:p>
            <w:pPr>
              <w:jc w:val="center"/>
            </w:pPr>
            <w:r>
              <w:rPr>
                <w:rFonts w:hint="eastAsia"/>
              </w:rPr>
              <w:t>六级氯化分离器</w:t>
            </w:r>
          </w:p>
        </w:tc>
        <w:tc>
          <w:tcPr>
            <w:tcW w:w="1086" w:type="dxa"/>
            <w:vAlign w:val="center"/>
          </w:tcPr>
          <w:p>
            <w:pPr>
              <w:jc w:val="center"/>
            </w:pPr>
            <w:r>
              <w:rPr>
                <w:rFonts w:hint="eastAsia"/>
              </w:rPr>
              <w:t>FRP</w:t>
            </w:r>
          </w:p>
        </w:tc>
        <w:tc>
          <w:tcPr>
            <w:tcW w:w="1028" w:type="dxa"/>
            <w:vAlign w:val="center"/>
          </w:tcPr>
          <w:p>
            <w:pPr>
              <w:jc w:val="center"/>
            </w:pPr>
            <w:r>
              <w:rPr>
                <w:rFonts w:hint="eastAsia"/>
              </w:rPr>
              <w:t>8</w:t>
            </w:r>
          </w:p>
        </w:tc>
        <w:tc>
          <w:tcPr>
            <w:tcW w:w="1819" w:type="dxa"/>
            <w:vAlign w:val="center"/>
          </w:tcPr>
          <w:p>
            <w:pPr>
              <w:jc w:val="center"/>
            </w:pPr>
            <w:r>
              <w:rPr>
                <w:rFonts w:hint="eastAsia"/>
              </w:rPr>
              <w:t>DN900</w:t>
            </w:r>
            <w:r>
              <w:rPr>
                <w:rFonts w:ascii="Arial" w:hAnsi="Arial" w:cs="Arial"/>
              </w:rPr>
              <w:t>×</w:t>
            </w:r>
            <w:r>
              <w:rPr>
                <w:rFonts w:hint="eastAsia"/>
              </w:rPr>
              <w:t>1300</w:t>
            </w:r>
          </w:p>
          <w:p>
            <w:pPr>
              <w:jc w:val="center"/>
            </w:pPr>
            <w:r>
              <w:rPr>
                <w:rFonts w:hint="eastAsia"/>
              </w:rPr>
              <w:t>（全长2000）：</w:t>
            </w:r>
          </w:p>
          <w:p>
            <w:pPr>
              <w:jc w:val="center"/>
            </w:pPr>
            <w:r>
              <w:rPr>
                <w:rFonts w:hint="eastAsia"/>
              </w:rPr>
              <w:t>V=0.85m</w:t>
            </w:r>
            <w:r>
              <w:rPr>
                <w:rFonts w:hint="eastAsia"/>
                <w:vertAlign w:val="superscript"/>
              </w:rPr>
              <w:t>3</w:t>
            </w:r>
          </w:p>
        </w:tc>
        <w:tc>
          <w:tcPr>
            <w:tcW w:w="1594" w:type="dxa"/>
            <w:vAlign w:val="center"/>
          </w:tcPr>
          <w:p>
            <w:pPr>
              <w:jc w:val="center"/>
            </w:pPr>
            <w:r>
              <w:rPr>
                <w:rFonts w:hint="eastAsia"/>
              </w:rPr>
              <w:t>120/150</w:t>
            </w:r>
          </w:p>
        </w:tc>
        <w:tc>
          <w:tcPr>
            <w:tcW w:w="1949" w:type="dxa"/>
            <w:vAlign w:val="center"/>
          </w:tcPr>
          <w:p>
            <w:pPr>
              <w:jc w:val="center"/>
            </w:pPr>
            <w:r>
              <w:rPr>
                <w:rFonts w:hint="eastAsia"/>
              </w:rPr>
              <w:t>0.06~0.08/0.1</w:t>
            </w:r>
          </w:p>
        </w:tc>
        <w:tc>
          <w:tcPr>
            <w:tcW w:w="1524" w:type="dxa"/>
            <w:vAlign w:val="center"/>
          </w:tcPr>
          <w:p>
            <w:pPr>
              <w:jc w:val="center"/>
            </w:pPr>
            <w:r>
              <w:rPr>
                <w:rFonts w:hint="eastAsia"/>
              </w:rPr>
              <w:t>氯气、液蜡、氯化石蜡、氯化氢等</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8</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11</w:t>
            </w:r>
          </w:p>
        </w:tc>
        <w:tc>
          <w:tcPr>
            <w:tcW w:w="1404" w:type="dxa"/>
            <w:vAlign w:val="center"/>
          </w:tcPr>
          <w:p>
            <w:pPr>
              <w:jc w:val="center"/>
            </w:pPr>
            <w:r>
              <w:rPr>
                <w:rFonts w:hint="eastAsia"/>
              </w:rPr>
              <w:t>七级氯化分离器</w:t>
            </w:r>
          </w:p>
        </w:tc>
        <w:tc>
          <w:tcPr>
            <w:tcW w:w="1086" w:type="dxa"/>
            <w:vAlign w:val="center"/>
          </w:tcPr>
          <w:p>
            <w:pPr>
              <w:jc w:val="center"/>
            </w:pPr>
            <w:r>
              <w:rPr>
                <w:rFonts w:hint="eastAsia"/>
              </w:rPr>
              <w:t>FRP</w:t>
            </w:r>
          </w:p>
        </w:tc>
        <w:tc>
          <w:tcPr>
            <w:tcW w:w="1028" w:type="dxa"/>
            <w:vAlign w:val="center"/>
          </w:tcPr>
          <w:p>
            <w:pPr>
              <w:jc w:val="center"/>
            </w:pPr>
            <w:r>
              <w:rPr>
                <w:rFonts w:hint="eastAsia"/>
              </w:rPr>
              <w:t>8</w:t>
            </w:r>
          </w:p>
        </w:tc>
        <w:tc>
          <w:tcPr>
            <w:tcW w:w="1819" w:type="dxa"/>
            <w:vAlign w:val="center"/>
          </w:tcPr>
          <w:p>
            <w:pPr>
              <w:jc w:val="center"/>
            </w:pPr>
            <w:r>
              <w:rPr>
                <w:rFonts w:hint="eastAsia"/>
              </w:rPr>
              <w:t>DN900</w:t>
            </w:r>
            <w:r>
              <w:rPr>
                <w:rFonts w:ascii="Arial" w:hAnsi="Arial" w:cs="Arial"/>
              </w:rPr>
              <w:t>×</w:t>
            </w:r>
            <w:r>
              <w:rPr>
                <w:rFonts w:hint="eastAsia"/>
              </w:rPr>
              <w:t>1300</w:t>
            </w:r>
          </w:p>
          <w:p>
            <w:pPr>
              <w:jc w:val="center"/>
            </w:pPr>
            <w:r>
              <w:rPr>
                <w:rFonts w:hint="eastAsia"/>
              </w:rPr>
              <w:t>（全长2000):</w:t>
            </w:r>
          </w:p>
          <w:p>
            <w:pPr>
              <w:jc w:val="center"/>
            </w:pPr>
            <w:r>
              <w:rPr>
                <w:rFonts w:hint="eastAsia"/>
              </w:rPr>
              <w:t>V=0.85m</w:t>
            </w:r>
            <w:r>
              <w:rPr>
                <w:rFonts w:hint="eastAsia"/>
                <w:vertAlign w:val="superscript"/>
              </w:rPr>
              <w:t>3</w:t>
            </w:r>
          </w:p>
        </w:tc>
        <w:tc>
          <w:tcPr>
            <w:tcW w:w="1594" w:type="dxa"/>
            <w:vAlign w:val="center"/>
          </w:tcPr>
          <w:p>
            <w:pPr>
              <w:jc w:val="center"/>
            </w:pPr>
            <w:r>
              <w:rPr>
                <w:rFonts w:hint="eastAsia"/>
              </w:rPr>
              <w:t>120/150</w:t>
            </w:r>
          </w:p>
        </w:tc>
        <w:tc>
          <w:tcPr>
            <w:tcW w:w="1949" w:type="dxa"/>
            <w:vAlign w:val="center"/>
          </w:tcPr>
          <w:p>
            <w:pPr>
              <w:jc w:val="center"/>
            </w:pPr>
            <w:r>
              <w:rPr>
                <w:rFonts w:hint="eastAsia"/>
              </w:rPr>
              <w:t>0.06~0.08/0.1</w:t>
            </w:r>
          </w:p>
        </w:tc>
        <w:tc>
          <w:tcPr>
            <w:tcW w:w="1524" w:type="dxa"/>
            <w:vAlign w:val="center"/>
          </w:tcPr>
          <w:p>
            <w:pPr>
              <w:jc w:val="center"/>
            </w:pPr>
            <w:r>
              <w:rPr>
                <w:rFonts w:hint="eastAsia"/>
              </w:rPr>
              <w:t>氯气、液蜡、氯化石蜡、氯化氢等</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8</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12</w:t>
            </w:r>
          </w:p>
        </w:tc>
        <w:tc>
          <w:tcPr>
            <w:tcW w:w="1404" w:type="dxa"/>
            <w:vAlign w:val="center"/>
          </w:tcPr>
          <w:p>
            <w:pPr>
              <w:jc w:val="center"/>
            </w:pPr>
            <w:r>
              <w:rPr>
                <w:rFonts w:hint="eastAsia"/>
              </w:rPr>
              <w:t>1＃精制吹风分离器</w:t>
            </w:r>
          </w:p>
        </w:tc>
        <w:tc>
          <w:tcPr>
            <w:tcW w:w="1086" w:type="dxa"/>
            <w:vAlign w:val="center"/>
          </w:tcPr>
          <w:p>
            <w:pPr>
              <w:jc w:val="center"/>
            </w:pPr>
            <w:r>
              <w:rPr>
                <w:rFonts w:hint="eastAsia"/>
              </w:rPr>
              <w:t>FRP</w:t>
            </w:r>
          </w:p>
        </w:tc>
        <w:tc>
          <w:tcPr>
            <w:tcW w:w="1028" w:type="dxa"/>
            <w:vAlign w:val="center"/>
          </w:tcPr>
          <w:p>
            <w:pPr>
              <w:jc w:val="center"/>
            </w:pPr>
            <w:r>
              <w:rPr>
                <w:rFonts w:hint="eastAsia"/>
              </w:rPr>
              <w:t>8</w:t>
            </w:r>
          </w:p>
        </w:tc>
        <w:tc>
          <w:tcPr>
            <w:tcW w:w="1819" w:type="dxa"/>
            <w:vAlign w:val="center"/>
          </w:tcPr>
          <w:p>
            <w:pPr>
              <w:jc w:val="center"/>
            </w:pPr>
            <w:r>
              <w:rPr>
                <w:rFonts w:hint="eastAsia"/>
              </w:rPr>
              <w:t>DN600</w:t>
            </w:r>
            <w:r>
              <w:rPr>
                <w:rFonts w:ascii="Arial" w:hAnsi="Arial" w:cs="Arial"/>
              </w:rPr>
              <w:t>×</w:t>
            </w:r>
            <w:r>
              <w:rPr>
                <w:rFonts w:hint="eastAsia"/>
              </w:rPr>
              <w:t>130</w:t>
            </w:r>
          </w:p>
          <w:p>
            <w:pPr>
              <w:jc w:val="center"/>
            </w:pPr>
            <w:r>
              <w:rPr>
                <w:rFonts w:hint="eastAsia"/>
              </w:rPr>
              <w:t>（全长</w:t>
            </w:r>
          </w:p>
          <w:p>
            <w:r>
              <w:rPr>
                <w:rFonts w:hint="eastAsia"/>
              </w:rPr>
              <w:t>2000);V=0.4m</w:t>
            </w:r>
            <w:r>
              <w:rPr>
                <w:rFonts w:hint="eastAsia"/>
                <w:vertAlign w:val="superscript"/>
              </w:rPr>
              <w:t>3</w:t>
            </w:r>
          </w:p>
        </w:tc>
        <w:tc>
          <w:tcPr>
            <w:tcW w:w="1594" w:type="dxa"/>
            <w:vAlign w:val="center"/>
          </w:tcPr>
          <w:p>
            <w:pPr>
              <w:jc w:val="center"/>
            </w:pPr>
            <w:r>
              <w:rPr>
                <w:rFonts w:hint="eastAsia"/>
              </w:rPr>
              <w:t>80/120</w:t>
            </w:r>
          </w:p>
        </w:tc>
        <w:tc>
          <w:tcPr>
            <w:tcW w:w="1949" w:type="dxa"/>
            <w:vAlign w:val="center"/>
          </w:tcPr>
          <w:p>
            <w:pPr>
              <w:jc w:val="center"/>
            </w:pPr>
            <w:r>
              <w:rPr>
                <w:rFonts w:hint="eastAsia"/>
              </w:rPr>
              <w:t>0.06~0.08/0.1</w:t>
            </w:r>
          </w:p>
        </w:tc>
        <w:tc>
          <w:tcPr>
            <w:tcW w:w="1524" w:type="dxa"/>
            <w:vAlign w:val="center"/>
          </w:tcPr>
          <w:p>
            <w:pPr>
              <w:jc w:val="center"/>
            </w:pPr>
            <w:r>
              <w:rPr>
                <w:rFonts w:hint="eastAsia"/>
              </w:rPr>
              <w:t>氯气、氯化石</w:t>
            </w:r>
          </w:p>
          <w:p>
            <w:pPr>
              <w:jc w:val="center"/>
            </w:pPr>
            <w:r>
              <w:rPr>
                <w:rFonts w:hint="eastAsia"/>
              </w:rPr>
              <w:t>蜡、氯化氢、氮气等</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13</w:t>
            </w:r>
          </w:p>
        </w:tc>
        <w:tc>
          <w:tcPr>
            <w:tcW w:w="1404" w:type="dxa"/>
            <w:vAlign w:val="center"/>
          </w:tcPr>
          <w:p>
            <w:pPr>
              <w:jc w:val="center"/>
            </w:pPr>
            <w:r>
              <w:rPr>
                <w:rFonts w:hint="eastAsia"/>
              </w:rPr>
              <w:t>2＃精制吹风分离器</w:t>
            </w:r>
          </w:p>
        </w:tc>
        <w:tc>
          <w:tcPr>
            <w:tcW w:w="1086" w:type="dxa"/>
            <w:vAlign w:val="center"/>
          </w:tcPr>
          <w:p>
            <w:pPr>
              <w:jc w:val="center"/>
            </w:pPr>
            <w:r>
              <w:rPr>
                <w:rFonts w:hint="eastAsia"/>
              </w:rPr>
              <w:t>FRP</w:t>
            </w:r>
          </w:p>
        </w:tc>
        <w:tc>
          <w:tcPr>
            <w:tcW w:w="1028" w:type="dxa"/>
            <w:vAlign w:val="center"/>
          </w:tcPr>
          <w:p>
            <w:pPr>
              <w:jc w:val="center"/>
            </w:pPr>
            <w:r>
              <w:rPr>
                <w:rFonts w:hint="eastAsia"/>
              </w:rPr>
              <w:t>8</w:t>
            </w:r>
          </w:p>
        </w:tc>
        <w:tc>
          <w:tcPr>
            <w:tcW w:w="1819" w:type="dxa"/>
            <w:vAlign w:val="center"/>
          </w:tcPr>
          <w:p>
            <w:pPr>
              <w:jc w:val="center"/>
            </w:pPr>
            <w:r>
              <w:rPr>
                <w:rFonts w:hint="eastAsia"/>
              </w:rPr>
              <w:t>DN600</w:t>
            </w:r>
            <w:r>
              <w:rPr>
                <w:rFonts w:ascii="Arial" w:hAnsi="Arial" w:cs="Arial"/>
              </w:rPr>
              <w:t>×</w:t>
            </w:r>
            <w:r>
              <w:rPr>
                <w:rFonts w:hint="eastAsia"/>
              </w:rPr>
              <w:t>1300</w:t>
            </w:r>
          </w:p>
          <w:p>
            <w:pPr>
              <w:jc w:val="center"/>
            </w:pPr>
            <w:r>
              <w:rPr>
                <w:rFonts w:hint="eastAsia"/>
              </w:rPr>
              <w:t>（全长</w:t>
            </w:r>
          </w:p>
          <w:p>
            <w:pPr>
              <w:jc w:val="center"/>
            </w:pPr>
            <w:r>
              <w:rPr>
                <w:rFonts w:hint="eastAsia"/>
              </w:rPr>
              <w:t>2000);V=0.4m3</w:t>
            </w:r>
          </w:p>
        </w:tc>
        <w:tc>
          <w:tcPr>
            <w:tcW w:w="1594" w:type="dxa"/>
            <w:vAlign w:val="center"/>
          </w:tcPr>
          <w:p>
            <w:pPr>
              <w:jc w:val="center"/>
            </w:pPr>
            <w:r>
              <w:rPr>
                <w:rFonts w:hint="eastAsia"/>
              </w:rPr>
              <w:t>80/120</w:t>
            </w:r>
          </w:p>
        </w:tc>
        <w:tc>
          <w:tcPr>
            <w:tcW w:w="1949" w:type="dxa"/>
            <w:vAlign w:val="center"/>
          </w:tcPr>
          <w:p>
            <w:pPr>
              <w:jc w:val="center"/>
            </w:pPr>
            <w:r>
              <w:rPr>
                <w:rFonts w:hint="eastAsia"/>
              </w:rPr>
              <w:t>0.06~0.08/0.1</w:t>
            </w:r>
          </w:p>
        </w:tc>
        <w:tc>
          <w:tcPr>
            <w:tcW w:w="1524" w:type="dxa"/>
            <w:vAlign w:val="center"/>
          </w:tcPr>
          <w:p>
            <w:pPr>
              <w:jc w:val="center"/>
            </w:pPr>
            <w:r>
              <w:rPr>
                <w:rFonts w:hint="eastAsia"/>
              </w:rPr>
              <w:t>氯气、氯化石</w:t>
            </w:r>
          </w:p>
          <w:p>
            <w:pPr>
              <w:jc w:val="center"/>
            </w:pPr>
            <w:r>
              <w:rPr>
                <w:rFonts w:hint="eastAsia"/>
              </w:rPr>
              <w:t>蜡、氯化氢等</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14</w:t>
            </w:r>
          </w:p>
        </w:tc>
        <w:tc>
          <w:tcPr>
            <w:tcW w:w="1404" w:type="dxa"/>
            <w:vAlign w:val="center"/>
          </w:tcPr>
          <w:p>
            <w:pPr>
              <w:jc w:val="center"/>
            </w:pPr>
            <w:r>
              <w:rPr>
                <w:rFonts w:hint="eastAsia"/>
              </w:rPr>
              <w:t>3＃精制吹风分离器</w:t>
            </w:r>
          </w:p>
        </w:tc>
        <w:tc>
          <w:tcPr>
            <w:tcW w:w="1086" w:type="dxa"/>
            <w:vAlign w:val="center"/>
          </w:tcPr>
          <w:p>
            <w:pPr>
              <w:jc w:val="center"/>
            </w:pPr>
            <w:r>
              <w:rPr>
                <w:rFonts w:hint="eastAsia"/>
              </w:rPr>
              <w:t>FRP</w:t>
            </w:r>
          </w:p>
        </w:tc>
        <w:tc>
          <w:tcPr>
            <w:tcW w:w="1028" w:type="dxa"/>
            <w:vAlign w:val="center"/>
          </w:tcPr>
          <w:p>
            <w:pPr>
              <w:jc w:val="center"/>
            </w:pPr>
            <w:r>
              <w:rPr>
                <w:rFonts w:hint="eastAsia"/>
              </w:rPr>
              <w:t>8</w:t>
            </w:r>
          </w:p>
        </w:tc>
        <w:tc>
          <w:tcPr>
            <w:tcW w:w="1819" w:type="dxa"/>
            <w:vAlign w:val="center"/>
          </w:tcPr>
          <w:p>
            <w:pPr>
              <w:jc w:val="center"/>
            </w:pPr>
            <w:r>
              <w:rPr>
                <w:rFonts w:hint="eastAsia"/>
              </w:rPr>
              <w:t>DN600</w:t>
            </w:r>
            <w:r>
              <w:rPr>
                <w:rFonts w:ascii="Arial" w:hAnsi="Arial" w:cs="Arial"/>
              </w:rPr>
              <w:t>×</w:t>
            </w:r>
            <w:r>
              <w:rPr>
                <w:rFonts w:hint="eastAsia"/>
              </w:rPr>
              <w:t>130</w:t>
            </w:r>
          </w:p>
          <w:p>
            <w:pPr>
              <w:jc w:val="center"/>
            </w:pPr>
            <w:r>
              <w:rPr>
                <w:rFonts w:hint="eastAsia"/>
              </w:rPr>
              <w:t>（全长</w:t>
            </w:r>
          </w:p>
          <w:p>
            <w:pPr>
              <w:jc w:val="center"/>
            </w:pPr>
            <w:r>
              <w:rPr>
                <w:rFonts w:hint="eastAsia"/>
              </w:rPr>
              <w:t>2000);V=0.4m</w:t>
            </w:r>
            <w:r>
              <w:rPr>
                <w:rFonts w:hint="eastAsia"/>
                <w:vertAlign w:val="superscript"/>
              </w:rPr>
              <w:t>3</w:t>
            </w:r>
          </w:p>
        </w:tc>
        <w:tc>
          <w:tcPr>
            <w:tcW w:w="1594" w:type="dxa"/>
            <w:vAlign w:val="center"/>
          </w:tcPr>
          <w:p>
            <w:pPr>
              <w:jc w:val="center"/>
            </w:pPr>
            <w:r>
              <w:rPr>
                <w:rFonts w:hint="eastAsia"/>
              </w:rPr>
              <w:t>80/120</w:t>
            </w:r>
          </w:p>
        </w:tc>
        <w:tc>
          <w:tcPr>
            <w:tcW w:w="1949" w:type="dxa"/>
            <w:vAlign w:val="center"/>
          </w:tcPr>
          <w:p>
            <w:pPr>
              <w:jc w:val="center"/>
            </w:pPr>
            <w:r>
              <w:rPr>
                <w:rFonts w:hint="eastAsia"/>
              </w:rPr>
              <w:t>0.06~0.08/0.1</w:t>
            </w:r>
          </w:p>
        </w:tc>
        <w:tc>
          <w:tcPr>
            <w:tcW w:w="1524" w:type="dxa"/>
          </w:tcPr>
          <w:p>
            <w:pPr>
              <w:jc w:val="center"/>
            </w:pPr>
            <w:r>
              <w:rPr>
                <w:rFonts w:hint="eastAsia"/>
              </w:rPr>
              <w:t>氯气、氯化石</w:t>
            </w:r>
          </w:p>
          <w:p>
            <w:pPr>
              <w:jc w:val="center"/>
            </w:pPr>
            <w:r>
              <w:rPr>
                <w:rFonts w:hint="eastAsia"/>
              </w:rPr>
              <w:t>蜡、氯化氢等</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15</w:t>
            </w:r>
          </w:p>
        </w:tc>
        <w:tc>
          <w:tcPr>
            <w:tcW w:w="1404" w:type="dxa"/>
            <w:vAlign w:val="center"/>
          </w:tcPr>
          <w:p>
            <w:pPr>
              <w:jc w:val="center"/>
            </w:pPr>
            <w:r>
              <w:rPr>
                <w:rFonts w:hint="eastAsia"/>
              </w:rPr>
              <w:t>一级气液分离器</w:t>
            </w:r>
          </w:p>
        </w:tc>
        <w:tc>
          <w:tcPr>
            <w:tcW w:w="1086" w:type="dxa"/>
            <w:vAlign w:val="center"/>
          </w:tcPr>
          <w:p>
            <w:pPr>
              <w:jc w:val="center"/>
            </w:pPr>
            <w:r>
              <w:rPr>
                <w:rFonts w:hint="eastAsia"/>
              </w:rPr>
              <w:t>FRP</w:t>
            </w:r>
          </w:p>
        </w:tc>
        <w:tc>
          <w:tcPr>
            <w:tcW w:w="1028" w:type="dxa"/>
            <w:vAlign w:val="center"/>
          </w:tcPr>
          <w:p>
            <w:pPr>
              <w:jc w:val="center"/>
            </w:pPr>
            <w:r>
              <w:rPr>
                <w:rFonts w:hint="eastAsia"/>
              </w:rPr>
              <w:t>8</w:t>
            </w:r>
          </w:p>
        </w:tc>
        <w:tc>
          <w:tcPr>
            <w:tcW w:w="1819" w:type="dxa"/>
            <w:vAlign w:val="center"/>
          </w:tcPr>
          <w:p>
            <w:pPr>
              <w:jc w:val="center"/>
            </w:pPr>
            <w:r>
              <w:rPr>
                <w:rFonts w:hint="eastAsia"/>
              </w:rPr>
              <w:t>DN900</w:t>
            </w:r>
            <w:r>
              <w:rPr>
                <w:rFonts w:ascii="Arial" w:hAnsi="Arial" w:cs="Arial"/>
              </w:rPr>
              <w:t>×</w:t>
            </w:r>
            <w:r>
              <w:rPr>
                <w:rFonts w:hint="eastAsia"/>
              </w:rPr>
              <w:t>1300</w:t>
            </w:r>
          </w:p>
          <w:p>
            <w:pPr>
              <w:jc w:val="center"/>
            </w:pPr>
            <w:r>
              <w:rPr>
                <w:rFonts w:hint="eastAsia"/>
              </w:rPr>
              <w:t>（全长2000);</w:t>
            </w:r>
          </w:p>
          <w:p>
            <w:pPr>
              <w:jc w:val="center"/>
            </w:pPr>
            <w:r>
              <w:rPr>
                <w:rFonts w:hint="eastAsia"/>
              </w:rPr>
              <w:t>V=0.85m</w:t>
            </w:r>
            <w:r>
              <w:rPr>
                <w:rFonts w:hint="eastAsia"/>
                <w:vertAlign w:val="superscript"/>
              </w:rPr>
              <w:t>3</w:t>
            </w:r>
          </w:p>
        </w:tc>
        <w:tc>
          <w:tcPr>
            <w:tcW w:w="1594" w:type="dxa"/>
            <w:vAlign w:val="center"/>
          </w:tcPr>
          <w:p>
            <w:pPr>
              <w:jc w:val="center"/>
            </w:pPr>
            <w:r>
              <w:rPr>
                <w:rFonts w:hint="eastAsia"/>
              </w:rPr>
              <w:t>80/120</w:t>
            </w:r>
          </w:p>
        </w:tc>
        <w:tc>
          <w:tcPr>
            <w:tcW w:w="1949" w:type="dxa"/>
            <w:vAlign w:val="center"/>
          </w:tcPr>
          <w:p>
            <w:pPr>
              <w:jc w:val="center"/>
            </w:pPr>
            <w:r>
              <w:rPr>
                <w:rFonts w:hint="eastAsia"/>
              </w:rPr>
              <w:t>0.08/0.1</w:t>
            </w:r>
          </w:p>
        </w:tc>
        <w:tc>
          <w:tcPr>
            <w:tcW w:w="1524" w:type="dxa"/>
            <w:vAlign w:val="center"/>
          </w:tcPr>
          <w:p>
            <w:pPr>
              <w:jc w:val="center"/>
            </w:pPr>
            <w:r>
              <w:rPr>
                <w:rFonts w:hint="eastAsia"/>
              </w:rPr>
              <w:t>氯气、液蜡、氯化石蜡、氯化氢</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16</w:t>
            </w:r>
          </w:p>
        </w:tc>
        <w:tc>
          <w:tcPr>
            <w:tcW w:w="1404" w:type="dxa"/>
            <w:vAlign w:val="center"/>
          </w:tcPr>
          <w:p>
            <w:pPr>
              <w:jc w:val="center"/>
            </w:pPr>
            <w:r>
              <w:rPr>
                <w:rFonts w:hint="eastAsia"/>
              </w:rPr>
              <w:t>二级气液离器</w:t>
            </w:r>
          </w:p>
        </w:tc>
        <w:tc>
          <w:tcPr>
            <w:tcW w:w="1086" w:type="dxa"/>
            <w:vAlign w:val="center"/>
          </w:tcPr>
          <w:p>
            <w:pPr>
              <w:jc w:val="center"/>
            </w:pPr>
            <w:r>
              <w:rPr>
                <w:rFonts w:hint="eastAsia"/>
              </w:rPr>
              <w:t>FRP</w:t>
            </w:r>
          </w:p>
        </w:tc>
        <w:tc>
          <w:tcPr>
            <w:tcW w:w="1028" w:type="dxa"/>
            <w:vAlign w:val="center"/>
          </w:tcPr>
          <w:p>
            <w:pPr>
              <w:jc w:val="center"/>
            </w:pPr>
            <w:r>
              <w:rPr>
                <w:rFonts w:hint="eastAsia"/>
              </w:rPr>
              <w:t>8</w:t>
            </w:r>
          </w:p>
        </w:tc>
        <w:tc>
          <w:tcPr>
            <w:tcW w:w="1819" w:type="dxa"/>
            <w:vAlign w:val="center"/>
          </w:tcPr>
          <w:p>
            <w:pPr>
              <w:jc w:val="center"/>
            </w:pPr>
            <w:r>
              <w:rPr>
                <w:rFonts w:hint="eastAsia"/>
              </w:rPr>
              <w:t>DN900</w:t>
            </w:r>
            <w:r>
              <w:rPr>
                <w:rFonts w:ascii="Arial" w:hAnsi="Arial" w:cs="Arial"/>
              </w:rPr>
              <w:t>×</w:t>
            </w:r>
            <w:r>
              <w:rPr>
                <w:rFonts w:hint="eastAsia"/>
              </w:rPr>
              <w:t>1300（全长2000);</w:t>
            </w:r>
          </w:p>
          <w:p>
            <w:pPr>
              <w:jc w:val="center"/>
            </w:pPr>
            <w:r>
              <w:rPr>
                <w:rFonts w:hint="eastAsia"/>
              </w:rPr>
              <w:t>V=0.85m</w:t>
            </w:r>
            <w:r>
              <w:rPr>
                <w:rFonts w:hint="eastAsia"/>
                <w:vertAlign w:val="superscript"/>
              </w:rPr>
              <w:t>3</w:t>
            </w:r>
          </w:p>
        </w:tc>
        <w:tc>
          <w:tcPr>
            <w:tcW w:w="1594" w:type="dxa"/>
            <w:vAlign w:val="center"/>
          </w:tcPr>
          <w:p>
            <w:pPr>
              <w:jc w:val="center"/>
            </w:pPr>
            <w:r>
              <w:rPr>
                <w:rFonts w:hint="eastAsia"/>
              </w:rPr>
              <w:t>80/120</w:t>
            </w:r>
          </w:p>
        </w:tc>
        <w:tc>
          <w:tcPr>
            <w:tcW w:w="1949" w:type="dxa"/>
            <w:vAlign w:val="center"/>
          </w:tcPr>
          <w:p>
            <w:pPr>
              <w:jc w:val="center"/>
            </w:pPr>
            <w:r>
              <w:rPr>
                <w:rFonts w:hint="eastAsia"/>
              </w:rPr>
              <w:t>0.08/0.1</w:t>
            </w:r>
          </w:p>
        </w:tc>
        <w:tc>
          <w:tcPr>
            <w:tcW w:w="1524" w:type="dxa"/>
            <w:vAlign w:val="center"/>
          </w:tcPr>
          <w:p>
            <w:pPr>
              <w:jc w:val="center"/>
            </w:pPr>
            <w:r>
              <w:rPr>
                <w:rFonts w:hint="eastAsia"/>
              </w:rPr>
              <w:t>氯气、液蜡、氯化石蜡、氯化氢等</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17</w:t>
            </w:r>
          </w:p>
        </w:tc>
        <w:tc>
          <w:tcPr>
            <w:tcW w:w="1404" w:type="dxa"/>
            <w:vAlign w:val="center"/>
          </w:tcPr>
          <w:p>
            <w:pPr>
              <w:jc w:val="center"/>
            </w:pPr>
            <w:r>
              <w:rPr>
                <w:rFonts w:hint="eastAsia"/>
              </w:rPr>
              <w:t>1＃总分离器</w:t>
            </w:r>
          </w:p>
        </w:tc>
        <w:tc>
          <w:tcPr>
            <w:tcW w:w="1086" w:type="dxa"/>
            <w:vAlign w:val="center"/>
          </w:tcPr>
          <w:p>
            <w:pPr>
              <w:jc w:val="center"/>
            </w:pPr>
            <w:r>
              <w:rPr>
                <w:rFonts w:hint="eastAsia"/>
              </w:rPr>
              <w:t>FRP</w:t>
            </w:r>
          </w:p>
        </w:tc>
        <w:tc>
          <w:tcPr>
            <w:tcW w:w="1028" w:type="dxa"/>
            <w:vAlign w:val="center"/>
          </w:tcPr>
          <w:p>
            <w:pPr>
              <w:jc w:val="center"/>
            </w:pPr>
            <w:r>
              <w:rPr>
                <w:rFonts w:hint="eastAsia"/>
              </w:rPr>
              <w:t>2</w:t>
            </w:r>
          </w:p>
        </w:tc>
        <w:tc>
          <w:tcPr>
            <w:tcW w:w="1819" w:type="dxa"/>
            <w:vAlign w:val="center"/>
          </w:tcPr>
          <w:p>
            <w:pPr>
              <w:jc w:val="center"/>
            </w:pPr>
            <w:r>
              <w:rPr>
                <w:rFonts w:hint="eastAsia"/>
              </w:rPr>
              <w:t>DN1200</w:t>
            </w:r>
            <w:r>
              <w:rPr>
                <w:rFonts w:ascii="Arial" w:hAnsi="Arial" w:cs="Arial"/>
              </w:rPr>
              <w:t>×</w:t>
            </w:r>
            <w:r>
              <w:rPr>
                <w:rFonts w:hint="eastAsia"/>
              </w:rPr>
              <w:t>1700</w:t>
            </w:r>
          </w:p>
          <w:p>
            <w:pPr>
              <w:jc w:val="center"/>
            </w:pPr>
            <w:r>
              <w:rPr>
                <w:rFonts w:hint="eastAsia"/>
              </w:rPr>
              <w:t>（全长</w:t>
            </w:r>
          </w:p>
          <w:p>
            <w:pPr>
              <w:jc w:val="center"/>
            </w:pPr>
            <w:r>
              <w:rPr>
                <w:rFonts w:hint="eastAsia"/>
              </w:rPr>
              <w:t>2700);V=2.0m</w:t>
            </w:r>
            <w:r>
              <w:rPr>
                <w:rFonts w:hint="eastAsia"/>
                <w:vertAlign w:val="superscript"/>
              </w:rPr>
              <w:t>3</w:t>
            </w:r>
          </w:p>
        </w:tc>
        <w:tc>
          <w:tcPr>
            <w:tcW w:w="1594" w:type="dxa"/>
            <w:vAlign w:val="center"/>
          </w:tcPr>
          <w:p>
            <w:pPr>
              <w:jc w:val="center"/>
            </w:pPr>
            <w:r>
              <w:rPr>
                <w:rFonts w:hint="eastAsia"/>
              </w:rPr>
              <w:t>80/120</w:t>
            </w:r>
          </w:p>
        </w:tc>
        <w:tc>
          <w:tcPr>
            <w:tcW w:w="1949" w:type="dxa"/>
            <w:vAlign w:val="center"/>
          </w:tcPr>
          <w:p>
            <w:pPr>
              <w:jc w:val="center"/>
            </w:pPr>
            <w:r>
              <w:rPr>
                <w:rFonts w:hint="eastAsia"/>
              </w:rPr>
              <w:t>0.08/0.1</w:t>
            </w:r>
          </w:p>
        </w:tc>
        <w:tc>
          <w:tcPr>
            <w:tcW w:w="1524" w:type="dxa"/>
            <w:vAlign w:val="center"/>
          </w:tcPr>
          <w:p>
            <w:pPr>
              <w:jc w:val="center"/>
            </w:pPr>
            <w:r>
              <w:rPr>
                <w:rFonts w:hint="eastAsia"/>
              </w:rPr>
              <w:t>氯化氢、氯气、</w:t>
            </w:r>
          </w:p>
          <w:p>
            <w:pPr>
              <w:jc w:val="center"/>
            </w:pPr>
            <w:r>
              <w:rPr>
                <w:rFonts w:hint="eastAsia"/>
              </w:rPr>
              <w:t>氯化石蜡</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18</w:t>
            </w:r>
          </w:p>
        </w:tc>
        <w:tc>
          <w:tcPr>
            <w:tcW w:w="1404" w:type="dxa"/>
            <w:vAlign w:val="center"/>
          </w:tcPr>
          <w:p>
            <w:pPr>
              <w:jc w:val="center"/>
            </w:pPr>
            <w:r>
              <w:rPr>
                <w:rFonts w:hint="eastAsia"/>
              </w:rPr>
              <w:t>2＃总分离器</w:t>
            </w:r>
          </w:p>
        </w:tc>
        <w:tc>
          <w:tcPr>
            <w:tcW w:w="1086" w:type="dxa"/>
            <w:vAlign w:val="center"/>
          </w:tcPr>
          <w:p>
            <w:pPr>
              <w:jc w:val="center"/>
            </w:pPr>
            <w:r>
              <w:rPr>
                <w:rFonts w:hint="eastAsia"/>
              </w:rPr>
              <w:t>FRP</w:t>
            </w:r>
          </w:p>
        </w:tc>
        <w:tc>
          <w:tcPr>
            <w:tcW w:w="1028" w:type="dxa"/>
            <w:vAlign w:val="center"/>
          </w:tcPr>
          <w:p>
            <w:pPr>
              <w:jc w:val="center"/>
            </w:pPr>
            <w:r>
              <w:rPr>
                <w:rFonts w:hint="eastAsia"/>
              </w:rPr>
              <w:t>2</w:t>
            </w:r>
          </w:p>
        </w:tc>
        <w:tc>
          <w:tcPr>
            <w:tcW w:w="1819" w:type="dxa"/>
            <w:vAlign w:val="center"/>
          </w:tcPr>
          <w:p>
            <w:pPr>
              <w:jc w:val="center"/>
            </w:pPr>
            <w:r>
              <w:rPr>
                <w:rFonts w:hint="eastAsia"/>
              </w:rPr>
              <w:t>DN1200</w:t>
            </w:r>
            <w:r>
              <w:rPr>
                <w:rFonts w:ascii="Arial" w:hAnsi="Arial" w:cs="Arial"/>
              </w:rPr>
              <w:t>×</w:t>
            </w:r>
            <w:r>
              <w:rPr>
                <w:rFonts w:hint="eastAsia"/>
              </w:rPr>
              <w:t>1700</w:t>
            </w:r>
          </w:p>
          <w:p>
            <w:pPr>
              <w:jc w:val="center"/>
            </w:pPr>
            <w:r>
              <w:rPr>
                <w:rFonts w:hint="eastAsia"/>
              </w:rPr>
              <w:t>（全长</w:t>
            </w:r>
          </w:p>
          <w:p>
            <w:pPr>
              <w:jc w:val="center"/>
            </w:pPr>
            <w:r>
              <w:rPr>
                <w:rFonts w:hint="eastAsia"/>
              </w:rPr>
              <w:t>2700):V=2.0m</w:t>
            </w:r>
            <w:r>
              <w:rPr>
                <w:rFonts w:hint="eastAsia"/>
                <w:vertAlign w:val="superscript"/>
              </w:rPr>
              <w:t>3</w:t>
            </w:r>
          </w:p>
        </w:tc>
        <w:tc>
          <w:tcPr>
            <w:tcW w:w="1594" w:type="dxa"/>
            <w:vAlign w:val="center"/>
          </w:tcPr>
          <w:p>
            <w:pPr>
              <w:jc w:val="center"/>
            </w:pPr>
            <w:r>
              <w:rPr>
                <w:rFonts w:hint="eastAsia"/>
              </w:rPr>
              <w:t>80/120</w:t>
            </w:r>
          </w:p>
        </w:tc>
        <w:tc>
          <w:tcPr>
            <w:tcW w:w="1949" w:type="dxa"/>
            <w:vAlign w:val="center"/>
          </w:tcPr>
          <w:p>
            <w:pPr>
              <w:jc w:val="center"/>
            </w:pPr>
            <w:r>
              <w:rPr>
                <w:rFonts w:hint="eastAsia"/>
              </w:rPr>
              <w:t>0.08/0.1</w:t>
            </w:r>
          </w:p>
        </w:tc>
        <w:tc>
          <w:tcPr>
            <w:tcW w:w="1524" w:type="dxa"/>
            <w:vAlign w:val="center"/>
          </w:tcPr>
          <w:p>
            <w:pPr>
              <w:jc w:val="center"/>
            </w:pPr>
            <w:r>
              <w:rPr>
                <w:rFonts w:hint="eastAsia"/>
              </w:rPr>
              <w:t>氯化氢、氯气、</w:t>
            </w:r>
          </w:p>
          <w:p>
            <w:pPr>
              <w:jc w:val="center"/>
            </w:pPr>
            <w:r>
              <w:rPr>
                <w:rFonts w:hint="eastAsia"/>
              </w:rPr>
              <w:t>氯化石蜡</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19</w:t>
            </w:r>
          </w:p>
        </w:tc>
        <w:tc>
          <w:tcPr>
            <w:tcW w:w="1404" w:type="dxa"/>
            <w:vAlign w:val="center"/>
          </w:tcPr>
          <w:p>
            <w:pPr>
              <w:jc w:val="center"/>
            </w:pPr>
            <w:r>
              <w:rPr>
                <w:rFonts w:hint="eastAsia"/>
              </w:rPr>
              <w:t>3＃总分离器</w:t>
            </w:r>
          </w:p>
        </w:tc>
        <w:tc>
          <w:tcPr>
            <w:tcW w:w="1086" w:type="dxa"/>
            <w:vAlign w:val="center"/>
          </w:tcPr>
          <w:p>
            <w:pPr>
              <w:jc w:val="center"/>
            </w:pPr>
            <w:r>
              <w:rPr>
                <w:rFonts w:hint="eastAsia"/>
              </w:rPr>
              <w:t>FRP</w:t>
            </w:r>
          </w:p>
        </w:tc>
        <w:tc>
          <w:tcPr>
            <w:tcW w:w="1028" w:type="dxa"/>
            <w:vAlign w:val="center"/>
          </w:tcPr>
          <w:p>
            <w:pPr>
              <w:jc w:val="center"/>
            </w:pPr>
            <w:r>
              <w:rPr>
                <w:rFonts w:hint="eastAsia"/>
              </w:rPr>
              <w:t>2</w:t>
            </w:r>
          </w:p>
        </w:tc>
        <w:tc>
          <w:tcPr>
            <w:tcW w:w="1819" w:type="dxa"/>
            <w:vAlign w:val="center"/>
          </w:tcPr>
          <w:p>
            <w:pPr>
              <w:jc w:val="center"/>
            </w:pPr>
            <w:r>
              <w:rPr>
                <w:rFonts w:hint="eastAsia"/>
              </w:rPr>
              <w:t>DN1200</w:t>
            </w:r>
            <w:r>
              <w:rPr>
                <w:rFonts w:ascii="Arial" w:hAnsi="Arial" w:cs="Arial"/>
              </w:rPr>
              <w:t>×</w:t>
            </w:r>
            <w:r>
              <w:rPr>
                <w:rFonts w:hint="eastAsia"/>
              </w:rPr>
              <w:t>1700</w:t>
            </w:r>
          </w:p>
          <w:p>
            <w:pPr>
              <w:jc w:val="center"/>
            </w:pPr>
            <w:r>
              <w:rPr>
                <w:rFonts w:hint="eastAsia"/>
              </w:rPr>
              <w:t>（全长</w:t>
            </w:r>
          </w:p>
          <w:p>
            <w:pPr>
              <w:jc w:val="center"/>
            </w:pPr>
            <w:r>
              <w:rPr>
                <w:rFonts w:hint="eastAsia"/>
              </w:rPr>
              <w:t>2700):V=2.0m</w:t>
            </w:r>
            <w:r>
              <w:rPr>
                <w:rFonts w:hint="eastAsia"/>
                <w:vertAlign w:val="superscript"/>
              </w:rPr>
              <w:t>3</w:t>
            </w:r>
          </w:p>
        </w:tc>
        <w:tc>
          <w:tcPr>
            <w:tcW w:w="1594" w:type="dxa"/>
            <w:vAlign w:val="center"/>
          </w:tcPr>
          <w:p>
            <w:pPr>
              <w:jc w:val="center"/>
            </w:pPr>
            <w:r>
              <w:rPr>
                <w:rFonts w:hint="eastAsia"/>
              </w:rPr>
              <w:t>80/120</w:t>
            </w:r>
          </w:p>
        </w:tc>
        <w:tc>
          <w:tcPr>
            <w:tcW w:w="1949" w:type="dxa"/>
            <w:vAlign w:val="center"/>
          </w:tcPr>
          <w:p>
            <w:pPr>
              <w:jc w:val="center"/>
            </w:pPr>
            <w:r>
              <w:rPr>
                <w:rFonts w:hint="eastAsia"/>
              </w:rPr>
              <w:t>0.08/0.1</w:t>
            </w:r>
          </w:p>
        </w:tc>
        <w:tc>
          <w:tcPr>
            <w:tcW w:w="1524" w:type="dxa"/>
            <w:vAlign w:val="center"/>
          </w:tcPr>
          <w:p>
            <w:pPr>
              <w:jc w:val="center"/>
            </w:pPr>
            <w:r>
              <w:rPr>
                <w:rFonts w:hint="eastAsia"/>
              </w:rPr>
              <w:t>氯化氢、氯气、</w:t>
            </w:r>
          </w:p>
          <w:p>
            <w:pPr>
              <w:jc w:val="center"/>
            </w:pPr>
            <w:r>
              <w:rPr>
                <w:rFonts w:hint="eastAsia"/>
              </w:rPr>
              <w:t>氯化石蜡</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20</w:t>
            </w:r>
          </w:p>
        </w:tc>
        <w:tc>
          <w:tcPr>
            <w:tcW w:w="1404" w:type="dxa"/>
            <w:vAlign w:val="center"/>
          </w:tcPr>
          <w:p>
            <w:pPr>
              <w:jc w:val="center"/>
            </w:pPr>
            <w:r>
              <w:rPr>
                <w:rFonts w:hint="eastAsia"/>
              </w:rPr>
              <w:t>1＃捕沫器</w:t>
            </w:r>
          </w:p>
        </w:tc>
        <w:tc>
          <w:tcPr>
            <w:tcW w:w="1086" w:type="dxa"/>
            <w:vAlign w:val="center"/>
          </w:tcPr>
          <w:p>
            <w:pPr>
              <w:jc w:val="center"/>
            </w:pPr>
            <w:r>
              <w:rPr>
                <w:rFonts w:hint="eastAsia"/>
              </w:rPr>
              <w:t>FRP</w:t>
            </w:r>
          </w:p>
        </w:tc>
        <w:tc>
          <w:tcPr>
            <w:tcW w:w="1028" w:type="dxa"/>
            <w:vAlign w:val="center"/>
          </w:tcPr>
          <w:p>
            <w:pPr>
              <w:jc w:val="center"/>
            </w:pPr>
            <w:r>
              <w:rPr>
                <w:rFonts w:hint="eastAsia"/>
                <w:color w:val="FF0000"/>
              </w:rPr>
              <w:t>1</w:t>
            </w:r>
          </w:p>
        </w:tc>
        <w:tc>
          <w:tcPr>
            <w:tcW w:w="1819" w:type="dxa"/>
            <w:vAlign w:val="center"/>
          </w:tcPr>
          <w:p>
            <w:pPr>
              <w:jc w:val="center"/>
            </w:pPr>
            <w:r>
              <w:rPr>
                <w:rFonts w:hint="eastAsia"/>
              </w:rPr>
              <w:t>DN1200</w:t>
            </w:r>
            <w:r>
              <w:rPr>
                <w:rFonts w:ascii="Arial" w:hAnsi="Arial" w:cs="Arial"/>
              </w:rPr>
              <w:t>×</w:t>
            </w:r>
            <w:r>
              <w:rPr>
                <w:rFonts w:hint="eastAsia"/>
              </w:rPr>
              <w:t>2100</w:t>
            </w:r>
          </w:p>
          <w:p>
            <w:pPr>
              <w:jc w:val="center"/>
            </w:pPr>
            <w:r>
              <w:rPr>
                <w:rFonts w:hint="eastAsia"/>
              </w:rPr>
              <w:t>（全长</w:t>
            </w:r>
          </w:p>
          <w:p>
            <w:pPr>
              <w:jc w:val="center"/>
            </w:pPr>
            <w:r>
              <w:rPr>
                <w:rFonts w:hint="eastAsia"/>
              </w:rPr>
              <w:t>2700);V=1.8m</w:t>
            </w:r>
            <w:r>
              <w:rPr>
                <w:rFonts w:hint="eastAsia"/>
                <w:vertAlign w:val="superscript"/>
              </w:rPr>
              <w:t>3</w:t>
            </w:r>
          </w:p>
        </w:tc>
        <w:tc>
          <w:tcPr>
            <w:tcW w:w="1594" w:type="dxa"/>
            <w:vAlign w:val="center"/>
          </w:tcPr>
          <w:p>
            <w:pPr>
              <w:jc w:val="center"/>
            </w:pPr>
            <w:r>
              <w:rPr>
                <w:rFonts w:hint="eastAsia"/>
              </w:rPr>
              <w:t>80/120</w:t>
            </w:r>
          </w:p>
        </w:tc>
        <w:tc>
          <w:tcPr>
            <w:tcW w:w="1949" w:type="dxa"/>
            <w:vAlign w:val="center"/>
          </w:tcPr>
          <w:p>
            <w:pPr>
              <w:jc w:val="center"/>
            </w:pPr>
            <w:r>
              <w:rPr>
                <w:rFonts w:hint="eastAsia"/>
              </w:rPr>
              <w:t>0.08/0.1</w:t>
            </w:r>
          </w:p>
        </w:tc>
        <w:tc>
          <w:tcPr>
            <w:tcW w:w="1524" w:type="dxa"/>
            <w:vAlign w:val="center"/>
          </w:tcPr>
          <w:p>
            <w:pPr>
              <w:jc w:val="center"/>
            </w:pPr>
            <w:r>
              <w:rPr>
                <w:rFonts w:hint="eastAsia"/>
              </w:rPr>
              <w:t>氯化石蜡、氯化氢等尾气</w:t>
            </w:r>
          </w:p>
        </w:tc>
        <w:tc>
          <w:tcPr>
            <w:tcW w:w="944" w:type="dxa"/>
            <w:vAlign w:val="center"/>
          </w:tcPr>
          <w:p>
            <w:pPr>
              <w:jc w:val="center"/>
            </w:pPr>
            <w:r>
              <w:rPr>
                <w:rFonts w:hint="eastAsia"/>
              </w:rPr>
              <w:t>新购</w:t>
            </w:r>
          </w:p>
        </w:tc>
        <w:tc>
          <w:tcPr>
            <w:tcW w:w="1131" w:type="dxa"/>
            <w:vAlign w:val="center"/>
          </w:tcPr>
          <w:p>
            <w:pPr>
              <w:jc w:val="center"/>
            </w:pPr>
            <w:r>
              <w:rPr>
                <w:rFonts w:hint="eastAsia"/>
              </w:rPr>
              <w:t>1</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21</w:t>
            </w:r>
          </w:p>
        </w:tc>
        <w:tc>
          <w:tcPr>
            <w:tcW w:w="1404" w:type="dxa"/>
            <w:vAlign w:val="center"/>
          </w:tcPr>
          <w:p>
            <w:pPr>
              <w:jc w:val="center"/>
            </w:pPr>
            <w:r>
              <w:rPr>
                <w:rFonts w:hint="eastAsia"/>
              </w:rPr>
              <w:t>2＃捕沫器</w:t>
            </w:r>
          </w:p>
        </w:tc>
        <w:tc>
          <w:tcPr>
            <w:tcW w:w="1086" w:type="dxa"/>
            <w:vAlign w:val="center"/>
          </w:tcPr>
          <w:p>
            <w:pPr>
              <w:jc w:val="center"/>
            </w:pPr>
            <w:r>
              <w:rPr>
                <w:rFonts w:hint="eastAsia"/>
              </w:rPr>
              <w:t>FRP</w:t>
            </w:r>
          </w:p>
        </w:tc>
        <w:tc>
          <w:tcPr>
            <w:tcW w:w="1028" w:type="dxa"/>
            <w:vAlign w:val="center"/>
          </w:tcPr>
          <w:p>
            <w:pPr>
              <w:jc w:val="center"/>
            </w:pPr>
            <w:r>
              <w:rPr>
                <w:rFonts w:hint="eastAsia"/>
              </w:rPr>
              <w:t>1</w:t>
            </w:r>
          </w:p>
        </w:tc>
        <w:tc>
          <w:tcPr>
            <w:tcW w:w="1819" w:type="dxa"/>
            <w:vAlign w:val="center"/>
          </w:tcPr>
          <w:p>
            <w:pPr>
              <w:jc w:val="center"/>
            </w:pPr>
            <w:r>
              <w:rPr>
                <w:rFonts w:hint="eastAsia"/>
              </w:rPr>
              <w:t>DN1200</w:t>
            </w:r>
            <w:r>
              <w:rPr>
                <w:rFonts w:ascii="Arial" w:hAnsi="Arial" w:cs="Arial"/>
              </w:rPr>
              <w:t>×</w:t>
            </w:r>
            <w:r>
              <w:rPr>
                <w:rFonts w:hint="eastAsia"/>
              </w:rPr>
              <w:t>2100</w:t>
            </w:r>
          </w:p>
          <w:p>
            <w:pPr>
              <w:jc w:val="center"/>
            </w:pPr>
            <w:r>
              <w:rPr>
                <w:rFonts w:hint="eastAsia"/>
              </w:rPr>
              <w:t>（全长</w:t>
            </w:r>
          </w:p>
          <w:p>
            <w:pPr>
              <w:jc w:val="center"/>
            </w:pPr>
            <w:r>
              <w:rPr>
                <w:rFonts w:hint="eastAsia"/>
              </w:rPr>
              <w:t>2700):V=1.8m</w:t>
            </w:r>
            <w:r>
              <w:rPr>
                <w:rFonts w:hint="eastAsia"/>
                <w:vertAlign w:val="superscript"/>
              </w:rPr>
              <w:t>3</w:t>
            </w:r>
          </w:p>
        </w:tc>
        <w:tc>
          <w:tcPr>
            <w:tcW w:w="1594" w:type="dxa"/>
            <w:vAlign w:val="center"/>
          </w:tcPr>
          <w:p>
            <w:pPr>
              <w:jc w:val="center"/>
            </w:pPr>
            <w:r>
              <w:rPr>
                <w:rFonts w:hint="eastAsia"/>
              </w:rPr>
              <w:t>80/120</w:t>
            </w:r>
          </w:p>
        </w:tc>
        <w:tc>
          <w:tcPr>
            <w:tcW w:w="1949" w:type="dxa"/>
            <w:vAlign w:val="center"/>
          </w:tcPr>
          <w:p>
            <w:pPr>
              <w:jc w:val="center"/>
            </w:pPr>
            <w:r>
              <w:rPr>
                <w:rFonts w:hint="eastAsia"/>
              </w:rPr>
              <w:t>0.08/0.1</w:t>
            </w:r>
          </w:p>
        </w:tc>
        <w:tc>
          <w:tcPr>
            <w:tcW w:w="1524" w:type="dxa"/>
            <w:vAlign w:val="center"/>
          </w:tcPr>
          <w:p>
            <w:pPr>
              <w:jc w:val="center"/>
            </w:pPr>
            <w:r>
              <w:rPr>
                <w:rFonts w:hint="eastAsia"/>
              </w:rPr>
              <w:t>氯化石蜡、氯化氢等尾气</w:t>
            </w:r>
          </w:p>
        </w:tc>
        <w:tc>
          <w:tcPr>
            <w:tcW w:w="944" w:type="dxa"/>
            <w:vAlign w:val="center"/>
          </w:tcPr>
          <w:p>
            <w:pPr>
              <w:jc w:val="center"/>
            </w:pPr>
            <w:r>
              <w:rPr>
                <w:rFonts w:hint="eastAsia"/>
              </w:rPr>
              <w:t>新购</w:t>
            </w:r>
          </w:p>
        </w:tc>
        <w:tc>
          <w:tcPr>
            <w:tcW w:w="1131" w:type="dxa"/>
            <w:vAlign w:val="center"/>
          </w:tcPr>
          <w:p>
            <w:pPr>
              <w:jc w:val="center"/>
            </w:pPr>
            <w:r>
              <w:rPr>
                <w:rFonts w:hint="eastAsia"/>
              </w:rPr>
              <w:t>1</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22</w:t>
            </w:r>
          </w:p>
        </w:tc>
        <w:tc>
          <w:tcPr>
            <w:tcW w:w="1404" w:type="dxa"/>
            <w:vAlign w:val="center"/>
          </w:tcPr>
          <w:p>
            <w:pPr>
              <w:jc w:val="center"/>
            </w:pPr>
            <w:r>
              <w:rPr>
                <w:rFonts w:hint="eastAsia"/>
              </w:rPr>
              <w:t>稀盐酸罐</w:t>
            </w:r>
          </w:p>
        </w:tc>
        <w:tc>
          <w:tcPr>
            <w:tcW w:w="1086" w:type="dxa"/>
            <w:vAlign w:val="center"/>
          </w:tcPr>
          <w:p>
            <w:pPr>
              <w:jc w:val="center"/>
            </w:pPr>
            <w:r>
              <w:rPr>
                <w:rFonts w:hint="eastAsia"/>
              </w:rPr>
              <w:t>FRP</w:t>
            </w:r>
          </w:p>
        </w:tc>
        <w:tc>
          <w:tcPr>
            <w:tcW w:w="1028" w:type="dxa"/>
            <w:vAlign w:val="center"/>
          </w:tcPr>
          <w:p>
            <w:pPr>
              <w:jc w:val="center"/>
            </w:pPr>
            <w:r>
              <w:rPr>
                <w:rFonts w:hint="eastAsia"/>
              </w:rPr>
              <w:t>2</w:t>
            </w:r>
          </w:p>
        </w:tc>
        <w:tc>
          <w:tcPr>
            <w:tcW w:w="1819" w:type="dxa"/>
            <w:vAlign w:val="center"/>
          </w:tcPr>
          <w:p>
            <w:pPr>
              <w:jc w:val="center"/>
            </w:pPr>
            <w:r>
              <w:rPr>
                <w:rFonts w:hint="eastAsia"/>
              </w:rPr>
              <w:t>DN4000</w:t>
            </w:r>
            <w:r>
              <w:rPr>
                <w:rFonts w:ascii="Arial" w:hAnsi="Arial" w:cs="Arial"/>
              </w:rPr>
              <w:t>×</w:t>
            </w:r>
            <w:r>
              <w:rPr>
                <w:rFonts w:hint="eastAsia"/>
              </w:rPr>
              <w:t>7000:</w:t>
            </w:r>
          </w:p>
          <w:p>
            <w:pPr>
              <w:jc w:val="center"/>
            </w:pPr>
            <w:r>
              <w:rPr>
                <w:rFonts w:hint="eastAsia"/>
              </w:rPr>
              <w:t>V=88m</w:t>
            </w:r>
            <w:r>
              <w:rPr>
                <w:rFonts w:hint="eastAsia"/>
                <w:vertAlign w:val="superscript"/>
              </w:rPr>
              <w:t>3</w:t>
            </w:r>
          </w:p>
        </w:tc>
        <w:tc>
          <w:tcPr>
            <w:tcW w:w="1594" w:type="dxa"/>
            <w:vAlign w:val="center"/>
          </w:tcPr>
          <w:p>
            <w:pPr>
              <w:jc w:val="center"/>
            </w:pPr>
            <w:r>
              <w:rPr>
                <w:rFonts w:hint="eastAsia"/>
              </w:rPr>
              <w:t>45/80</w:t>
            </w:r>
          </w:p>
        </w:tc>
        <w:tc>
          <w:tcPr>
            <w:tcW w:w="1949" w:type="dxa"/>
            <w:vAlign w:val="center"/>
          </w:tcPr>
          <w:p>
            <w:pPr>
              <w:jc w:val="center"/>
            </w:pPr>
            <w:r>
              <w:rPr>
                <w:rFonts w:hint="eastAsia"/>
              </w:rPr>
              <w:t>常压</w:t>
            </w:r>
            <w:r>
              <w:rPr>
                <w:rFonts w:hint="eastAsia"/>
                <w:lang w:val="en-US" w:eastAsia="zh-CN"/>
              </w:rPr>
              <w:t>/</w:t>
            </w:r>
            <w:r>
              <w:rPr>
                <w:rFonts w:hint="eastAsia"/>
              </w:rPr>
              <w:t>常压</w:t>
            </w:r>
          </w:p>
        </w:tc>
        <w:tc>
          <w:tcPr>
            <w:tcW w:w="1524" w:type="dxa"/>
            <w:vAlign w:val="center"/>
          </w:tcPr>
          <w:p>
            <w:pPr>
              <w:jc w:val="center"/>
            </w:pPr>
            <w:r>
              <w:rPr>
                <w:rFonts w:hint="eastAsia"/>
              </w:rPr>
              <w:t>稀盐酸</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23</w:t>
            </w:r>
          </w:p>
        </w:tc>
        <w:tc>
          <w:tcPr>
            <w:tcW w:w="1404" w:type="dxa"/>
            <w:vAlign w:val="center"/>
          </w:tcPr>
          <w:p>
            <w:pPr>
              <w:jc w:val="center"/>
            </w:pPr>
            <w:r>
              <w:rPr>
                <w:rFonts w:hint="eastAsia"/>
              </w:rPr>
              <w:t>浓盐酸罐</w:t>
            </w:r>
          </w:p>
        </w:tc>
        <w:tc>
          <w:tcPr>
            <w:tcW w:w="1086" w:type="dxa"/>
            <w:vAlign w:val="center"/>
          </w:tcPr>
          <w:p>
            <w:pPr>
              <w:jc w:val="center"/>
            </w:pPr>
            <w:r>
              <w:rPr>
                <w:rFonts w:hint="eastAsia"/>
              </w:rPr>
              <w:t>FRP</w:t>
            </w:r>
          </w:p>
        </w:tc>
        <w:tc>
          <w:tcPr>
            <w:tcW w:w="1028" w:type="dxa"/>
            <w:vAlign w:val="center"/>
          </w:tcPr>
          <w:p>
            <w:pPr>
              <w:jc w:val="center"/>
            </w:pPr>
            <w:r>
              <w:rPr>
                <w:rFonts w:hint="eastAsia"/>
              </w:rPr>
              <w:t>2</w:t>
            </w:r>
          </w:p>
        </w:tc>
        <w:tc>
          <w:tcPr>
            <w:tcW w:w="1819" w:type="dxa"/>
            <w:vAlign w:val="center"/>
          </w:tcPr>
          <w:p>
            <w:pPr>
              <w:jc w:val="center"/>
            </w:pPr>
            <w:r>
              <w:rPr>
                <w:rFonts w:hint="eastAsia"/>
              </w:rPr>
              <w:t>DN4000</w:t>
            </w:r>
            <w:r>
              <w:rPr>
                <w:rFonts w:ascii="Arial" w:hAnsi="Arial" w:cs="Arial"/>
              </w:rPr>
              <w:t>×</w:t>
            </w:r>
            <w:r>
              <w:rPr>
                <w:rFonts w:hint="eastAsia"/>
              </w:rPr>
              <w:t>7000;</w:t>
            </w:r>
          </w:p>
          <w:p>
            <w:pPr>
              <w:jc w:val="center"/>
            </w:pPr>
            <w:r>
              <w:rPr>
                <w:rFonts w:hint="eastAsia"/>
              </w:rPr>
              <w:t>V=88m</w:t>
            </w:r>
            <w:r>
              <w:rPr>
                <w:rFonts w:hint="eastAsia"/>
                <w:vertAlign w:val="superscript"/>
              </w:rPr>
              <w:t>3</w:t>
            </w:r>
          </w:p>
        </w:tc>
        <w:tc>
          <w:tcPr>
            <w:tcW w:w="1594" w:type="dxa"/>
            <w:vAlign w:val="center"/>
          </w:tcPr>
          <w:p>
            <w:pPr>
              <w:jc w:val="center"/>
            </w:pPr>
            <w:r>
              <w:rPr>
                <w:rFonts w:hint="eastAsia"/>
              </w:rPr>
              <w:t>45/80</w:t>
            </w:r>
          </w:p>
        </w:tc>
        <w:tc>
          <w:tcPr>
            <w:tcW w:w="1949" w:type="dxa"/>
            <w:vAlign w:val="center"/>
          </w:tcPr>
          <w:p>
            <w:pPr>
              <w:jc w:val="center"/>
            </w:pPr>
            <w:r>
              <w:rPr>
                <w:rFonts w:hint="eastAsia"/>
              </w:rPr>
              <w:t>常压</w:t>
            </w:r>
            <w:r>
              <w:rPr>
                <w:rFonts w:hint="eastAsia"/>
                <w:lang w:val="en-US" w:eastAsia="zh-CN"/>
              </w:rPr>
              <w:t>/</w:t>
            </w:r>
            <w:r>
              <w:rPr>
                <w:rFonts w:hint="eastAsia"/>
              </w:rPr>
              <w:t>常压</w:t>
            </w:r>
          </w:p>
        </w:tc>
        <w:tc>
          <w:tcPr>
            <w:tcW w:w="1524" w:type="dxa"/>
            <w:vAlign w:val="center"/>
          </w:tcPr>
          <w:p>
            <w:pPr>
              <w:jc w:val="center"/>
            </w:pPr>
            <w:r>
              <w:rPr>
                <w:rFonts w:hint="eastAsia"/>
              </w:rPr>
              <w:t>浓盐酸</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24</w:t>
            </w:r>
          </w:p>
        </w:tc>
        <w:tc>
          <w:tcPr>
            <w:tcW w:w="1404" w:type="dxa"/>
            <w:vAlign w:val="center"/>
          </w:tcPr>
          <w:p>
            <w:pPr>
              <w:jc w:val="center"/>
            </w:pPr>
            <w:r>
              <w:rPr>
                <w:rFonts w:hint="eastAsia"/>
              </w:rPr>
              <w:t>精制稀酸罐</w:t>
            </w:r>
          </w:p>
        </w:tc>
        <w:tc>
          <w:tcPr>
            <w:tcW w:w="1086" w:type="dxa"/>
            <w:vAlign w:val="center"/>
          </w:tcPr>
          <w:p>
            <w:pPr>
              <w:jc w:val="center"/>
            </w:pPr>
            <w:r>
              <w:rPr>
                <w:rFonts w:hint="eastAsia"/>
              </w:rPr>
              <w:t>FRP</w:t>
            </w:r>
          </w:p>
        </w:tc>
        <w:tc>
          <w:tcPr>
            <w:tcW w:w="1028" w:type="dxa"/>
            <w:vAlign w:val="center"/>
          </w:tcPr>
          <w:p>
            <w:pPr>
              <w:jc w:val="center"/>
            </w:pPr>
            <w:r>
              <w:rPr>
                <w:rFonts w:hint="eastAsia"/>
              </w:rPr>
              <w:t>2</w:t>
            </w:r>
          </w:p>
        </w:tc>
        <w:tc>
          <w:tcPr>
            <w:tcW w:w="1819" w:type="dxa"/>
            <w:vAlign w:val="center"/>
          </w:tcPr>
          <w:p>
            <w:pPr>
              <w:jc w:val="center"/>
            </w:pPr>
            <w:r>
              <w:rPr>
                <w:rFonts w:hint="eastAsia"/>
              </w:rPr>
              <w:t>DN1500</w:t>
            </w:r>
            <w:r>
              <w:rPr>
                <w:rFonts w:ascii="Arial" w:hAnsi="Arial" w:cs="Arial"/>
              </w:rPr>
              <w:t>×</w:t>
            </w:r>
            <w:r>
              <w:rPr>
                <w:rFonts w:hint="eastAsia"/>
              </w:rPr>
              <w:t>2250:</w:t>
            </w:r>
          </w:p>
          <w:p>
            <w:pPr>
              <w:jc w:val="center"/>
            </w:pPr>
            <w:r>
              <w:rPr>
                <w:rFonts w:hint="eastAsia"/>
              </w:rPr>
              <w:t>V=4m</w:t>
            </w:r>
            <w:r>
              <w:rPr>
                <w:rFonts w:hint="eastAsia"/>
                <w:vertAlign w:val="superscript"/>
              </w:rPr>
              <w:t>3</w:t>
            </w:r>
          </w:p>
        </w:tc>
        <w:tc>
          <w:tcPr>
            <w:tcW w:w="1594" w:type="dxa"/>
            <w:vAlign w:val="center"/>
          </w:tcPr>
          <w:p>
            <w:pPr>
              <w:jc w:val="center"/>
            </w:pPr>
            <w:r>
              <w:rPr>
                <w:rFonts w:hint="eastAsia"/>
              </w:rPr>
              <w:t>100/150</w:t>
            </w:r>
          </w:p>
        </w:tc>
        <w:tc>
          <w:tcPr>
            <w:tcW w:w="1949" w:type="dxa"/>
            <w:vAlign w:val="center"/>
          </w:tcPr>
          <w:p>
            <w:pPr>
              <w:jc w:val="center"/>
            </w:pPr>
            <w:r>
              <w:rPr>
                <w:rFonts w:hint="eastAsia"/>
              </w:rPr>
              <w:t>0.08/0.1</w:t>
            </w:r>
          </w:p>
        </w:tc>
        <w:tc>
          <w:tcPr>
            <w:tcW w:w="1524" w:type="dxa"/>
            <w:vAlign w:val="center"/>
          </w:tcPr>
          <w:p>
            <w:pPr>
              <w:jc w:val="center"/>
            </w:pPr>
            <w:r>
              <w:rPr>
                <w:rFonts w:hint="eastAsia"/>
              </w:rPr>
              <w:t>稀盐酸</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2</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25</w:t>
            </w:r>
          </w:p>
        </w:tc>
        <w:tc>
          <w:tcPr>
            <w:tcW w:w="1404" w:type="dxa"/>
            <w:vAlign w:val="center"/>
          </w:tcPr>
          <w:p>
            <w:pPr>
              <w:jc w:val="center"/>
            </w:pPr>
            <w:r>
              <w:rPr>
                <w:rFonts w:hint="eastAsia"/>
              </w:rPr>
              <w:t>精制稀酸罐</w:t>
            </w:r>
          </w:p>
        </w:tc>
        <w:tc>
          <w:tcPr>
            <w:tcW w:w="1086" w:type="dxa"/>
            <w:vAlign w:val="center"/>
          </w:tcPr>
          <w:p>
            <w:pPr>
              <w:jc w:val="center"/>
            </w:pPr>
            <w:r>
              <w:rPr>
                <w:rFonts w:hint="eastAsia"/>
              </w:rPr>
              <w:t>FRP</w:t>
            </w:r>
          </w:p>
        </w:tc>
        <w:tc>
          <w:tcPr>
            <w:tcW w:w="1028" w:type="dxa"/>
            <w:vAlign w:val="center"/>
          </w:tcPr>
          <w:p>
            <w:pPr>
              <w:jc w:val="center"/>
            </w:pPr>
            <w:r>
              <w:rPr>
                <w:rFonts w:hint="eastAsia"/>
              </w:rPr>
              <w:t>2</w:t>
            </w:r>
          </w:p>
        </w:tc>
        <w:tc>
          <w:tcPr>
            <w:tcW w:w="1819" w:type="dxa"/>
            <w:vAlign w:val="center"/>
          </w:tcPr>
          <w:p>
            <w:pPr>
              <w:jc w:val="center"/>
            </w:pPr>
            <w:r>
              <w:rPr>
                <w:rFonts w:hint="eastAsia"/>
              </w:rPr>
              <w:t>DN1500</w:t>
            </w:r>
            <w:r>
              <w:rPr>
                <w:rFonts w:ascii="Arial" w:hAnsi="Arial" w:cs="Arial"/>
              </w:rPr>
              <w:t>×</w:t>
            </w:r>
            <w:r>
              <w:rPr>
                <w:rFonts w:hint="eastAsia"/>
              </w:rPr>
              <w:t>2250;</w:t>
            </w:r>
          </w:p>
          <w:p>
            <w:pPr>
              <w:jc w:val="center"/>
            </w:pPr>
            <w:r>
              <w:rPr>
                <w:rFonts w:hint="eastAsia"/>
              </w:rPr>
              <w:t>V=4m</w:t>
            </w:r>
            <w:r>
              <w:rPr>
                <w:rFonts w:hint="eastAsia"/>
                <w:vertAlign w:val="superscript"/>
              </w:rPr>
              <w:t>3</w:t>
            </w:r>
          </w:p>
        </w:tc>
        <w:tc>
          <w:tcPr>
            <w:tcW w:w="1594" w:type="dxa"/>
            <w:vAlign w:val="center"/>
          </w:tcPr>
          <w:p>
            <w:pPr>
              <w:jc w:val="center"/>
            </w:pPr>
            <w:r>
              <w:rPr>
                <w:rFonts w:hint="eastAsia"/>
              </w:rPr>
              <w:t>100/150</w:t>
            </w:r>
          </w:p>
        </w:tc>
        <w:tc>
          <w:tcPr>
            <w:tcW w:w="1949" w:type="dxa"/>
            <w:vAlign w:val="center"/>
          </w:tcPr>
          <w:p>
            <w:pPr>
              <w:jc w:val="center"/>
            </w:pPr>
            <w:r>
              <w:rPr>
                <w:rFonts w:hint="eastAsia"/>
              </w:rPr>
              <w:t>0.08/0.1</w:t>
            </w:r>
          </w:p>
        </w:tc>
        <w:tc>
          <w:tcPr>
            <w:tcW w:w="1524" w:type="dxa"/>
            <w:vAlign w:val="center"/>
          </w:tcPr>
          <w:p>
            <w:pPr>
              <w:jc w:val="center"/>
            </w:pPr>
            <w:r>
              <w:rPr>
                <w:rFonts w:hint="eastAsia"/>
              </w:rPr>
              <w:t>稀盐酸</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2</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26</w:t>
            </w:r>
          </w:p>
        </w:tc>
        <w:tc>
          <w:tcPr>
            <w:tcW w:w="1404" w:type="dxa"/>
            <w:vAlign w:val="center"/>
          </w:tcPr>
          <w:p>
            <w:pPr>
              <w:jc w:val="center"/>
            </w:pPr>
            <w:r>
              <w:rPr>
                <w:rFonts w:hint="eastAsia"/>
              </w:rPr>
              <w:t>故障收集槽</w:t>
            </w:r>
          </w:p>
        </w:tc>
        <w:tc>
          <w:tcPr>
            <w:tcW w:w="1086" w:type="dxa"/>
            <w:vAlign w:val="center"/>
          </w:tcPr>
          <w:p>
            <w:pPr>
              <w:jc w:val="center"/>
            </w:pPr>
            <w:r>
              <w:rPr>
                <w:rFonts w:hint="eastAsia"/>
              </w:rPr>
              <w:t>FRP</w:t>
            </w:r>
          </w:p>
        </w:tc>
        <w:tc>
          <w:tcPr>
            <w:tcW w:w="1028" w:type="dxa"/>
            <w:vAlign w:val="center"/>
          </w:tcPr>
          <w:p>
            <w:pPr>
              <w:jc w:val="center"/>
            </w:pPr>
            <w:r>
              <w:rPr>
                <w:rFonts w:hint="eastAsia"/>
              </w:rPr>
              <w:t>2</w:t>
            </w:r>
          </w:p>
        </w:tc>
        <w:tc>
          <w:tcPr>
            <w:tcW w:w="1819" w:type="dxa"/>
            <w:vAlign w:val="center"/>
          </w:tcPr>
          <w:p>
            <w:pPr>
              <w:jc w:val="center"/>
            </w:pPr>
            <w:r>
              <w:rPr>
                <w:rFonts w:hint="eastAsia"/>
              </w:rPr>
              <w:t>DN2000</w:t>
            </w:r>
            <w:r>
              <w:rPr>
                <w:rFonts w:ascii="Arial" w:hAnsi="Arial" w:cs="Arial"/>
              </w:rPr>
              <w:t>×</w:t>
            </w:r>
            <w:r>
              <w:rPr>
                <w:rFonts w:hint="eastAsia"/>
              </w:rPr>
              <w:t>4000;</w:t>
            </w:r>
          </w:p>
          <w:p>
            <w:pPr>
              <w:jc w:val="center"/>
            </w:pPr>
            <w:r>
              <w:rPr>
                <w:rFonts w:hint="eastAsia"/>
              </w:rPr>
              <w:t>V=13m</w:t>
            </w:r>
            <w:r>
              <w:rPr>
                <w:rFonts w:hint="eastAsia"/>
                <w:vertAlign w:val="superscript"/>
              </w:rPr>
              <w:t>3</w:t>
            </w:r>
          </w:p>
        </w:tc>
        <w:tc>
          <w:tcPr>
            <w:tcW w:w="1594" w:type="dxa"/>
            <w:vAlign w:val="center"/>
          </w:tcPr>
          <w:p>
            <w:pPr>
              <w:jc w:val="center"/>
            </w:pPr>
            <w:r>
              <w:rPr>
                <w:rFonts w:hint="eastAsia"/>
              </w:rPr>
              <w:t>60/120</w:t>
            </w:r>
          </w:p>
        </w:tc>
        <w:tc>
          <w:tcPr>
            <w:tcW w:w="1949" w:type="dxa"/>
            <w:vAlign w:val="center"/>
          </w:tcPr>
          <w:p>
            <w:pPr>
              <w:jc w:val="center"/>
            </w:pPr>
            <w:r>
              <w:rPr>
                <w:rFonts w:hint="eastAsia"/>
              </w:rPr>
              <w:t>常压</w:t>
            </w:r>
            <w:r>
              <w:rPr>
                <w:rFonts w:hint="eastAsia"/>
                <w:lang w:val="en-US" w:eastAsia="zh-CN"/>
              </w:rPr>
              <w:t>/</w:t>
            </w:r>
            <w:r>
              <w:rPr>
                <w:rFonts w:hint="eastAsia"/>
              </w:rPr>
              <w:t>常压</w:t>
            </w:r>
          </w:p>
        </w:tc>
        <w:tc>
          <w:tcPr>
            <w:tcW w:w="1524" w:type="dxa"/>
            <w:vAlign w:val="center"/>
          </w:tcPr>
          <w:p>
            <w:pPr>
              <w:jc w:val="center"/>
            </w:pPr>
            <w:r>
              <w:rPr>
                <w:rFonts w:hint="eastAsia"/>
              </w:rPr>
              <w:t>氯化石蜡、液蜡</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2</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27</w:t>
            </w:r>
          </w:p>
        </w:tc>
        <w:tc>
          <w:tcPr>
            <w:tcW w:w="1404" w:type="dxa"/>
            <w:vAlign w:val="center"/>
          </w:tcPr>
          <w:p>
            <w:pPr>
              <w:jc w:val="center"/>
            </w:pPr>
            <w:r>
              <w:rPr>
                <w:rFonts w:hint="eastAsia"/>
              </w:rPr>
              <w:t>稳定剂高位槽</w:t>
            </w:r>
          </w:p>
        </w:tc>
        <w:tc>
          <w:tcPr>
            <w:tcW w:w="1086" w:type="dxa"/>
            <w:vAlign w:val="center"/>
          </w:tcPr>
          <w:p>
            <w:pPr>
              <w:jc w:val="center"/>
            </w:pPr>
            <w:r>
              <w:rPr>
                <w:rFonts w:hint="eastAsia"/>
              </w:rPr>
              <w:t>S30408</w:t>
            </w:r>
          </w:p>
        </w:tc>
        <w:tc>
          <w:tcPr>
            <w:tcW w:w="1028" w:type="dxa"/>
            <w:vAlign w:val="center"/>
          </w:tcPr>
          <w:p>
            <w:pPr>
              <w:jc w:val="center"/>
            </w:pPr>
            <w:r>
              <w:rPr>
                <w:rFonts w:hint="eastAsia"/>
              </w:rPr>
              <w:t>2</w:t>
            </w:r>
          </w:p>
        </w:tc>
        <w:tc>
          <w:tcPr>
            <w:tcW w:w="1819" w:type="dxa"/>
            <w:vAlign w:val="center"/>
          </w:tcPr>
          <w:p>
            <w:pPr>
              <w:jc w:val="center"/>
            </w:pPr>
            <w:r>
              <w:rPr>
                <w:rFonts w:hint="eastAsia"/>
              </w:rPr>
              <w:t>DN1000</w:t>
            </w:r>
            <w:r>
              <w:rPr>
                <w:rFonts w:ascii="Arial" w:hAnsi="Arial" w:cs="Arial"/>
              </w:rPr>
              <w:t>×</w:t>
            </w:r>
            <w:r>
              <w:rPr>
                <w:rFonts w:hint="eastAsia"/>
              </w:rPr>
              <w:t>2000:</w:t>
            </w:r>
          </w:p>
          <w:p>
            <w:pPr>
              <w:jc w:val="center"/>
            </w:pPr>
            <w:r>
              <w:rPr>
                <w:rFonts w:hint="eastAsia"/>
              </w:rPr>
              <w:t>V=1.6m</w:t>
            </w:r>
            <w:r>
              <w:rPr>
                <w:rFonts w:hint="eastAsia"/>
                <w:vertAlign w:val="superscript"/>
              </w:rPr>
              <w:t>3</w:t>
            </w:r>
          </w:p>
        </w:tc>
        <w:tc>
          <w:tcPr>
            <w:tcW w:w="1594" w:type="dxa"/>
            <w:vAlign w:val="center"/>
          </w:tcPr>
          <w:p>
            <w:pPr>
              <w:jc w:val="center"/>
            </w:pPr>
            <w:r>
              <w:rPr>
                <w:rFonts w:hint="eastAsia"/>
              </w:rPr>
              <w:t>60/90</w:t>
            </w:r>
          </w:p>
        </w:tc>
        <w:tc>
          <w:tcPr>
            <w:tcW w:w="1949" w:type="dxa"/>
            <w:vAlign w:val="center"/>
          </w:tcPr>
          <w:p>
            <w:pPr>
              <w:jc w:val="center"/>
            </w:pPr>
            <w:r>
              <w:rPr>
                <w:rFonts w:hint="eastAsia"/>
              </w:rPr>
              <w:t>常压</w:t>
            </w:r>
            <w:r>
              <w:rPr>
                <w:rFonts w:hint="eastAsia"/>
                <w:lang w:val="en-US" w:eastAsia="zh-CN"/>
              </w:rPr>
              <w:t>/</w:t>
            </w:r>
            <w:r>
              <w:rPr>
                <w:rFonts w:hint="eastAsia"/>
              </w:rPr>
              <w:t>常压</w:t>
            </w:r>
          </w:p>
        </w:tc>
        <w:tc>
          <w:tcPr>
            <w:tcW w:w="1524" w:type="dxa"/>
            <w:vAlign w:val="center"/>
          </w:tcPr>
          <w:p>
            <w:pPr>
              <w:jc w:val="center"/>
            </w:pPr>
            <w:r>
              <w:rPr>
                <w:rFonts w:hint="eastAsia"/>
              </w:rPr>
              <w:t>稳定剂</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2</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28</w:t>
            </w:r>
          </w:p>
        </w:tc>
        <w:tc>
          <w:tcPr>
            <w:tcW w:w="1404" w:type="dxa"/>
            <w:vAlign w:val="center"/>
          </w:tcPr>
          <w:p>
            <w:pPr>
              <w:jc w:val="center"/>
            </w:pPr>
            <w:r>
              <w:rPr>
                <w:rFonts w:hint="eastAsia"/>
              </w:rPr>
              <w:t>稳定剂加料槽</w:t>
            </w:r>
          </w:p>
        </w:tc>
        <w:tc>
          <w:tcPr>
            <w:tcW w:w="1086" w:type="dxa"/>
            <w:vAlign w:val="center"/>
          </w:tcPr>
          <w:p>
            <w:pPr>
              <w:jc w:val="center"/>
            </w:pPr>
            <w:r>
              <w:rPr>
                <w:rFonts w:hint="eastAsia"/>
              </w:rPr>
              <w:t>S30408</w:t>
            </w:r>
          </w:p>
        </w:tc>
        <w:tc>
          <w:tcPr>
            <w:tcW w:w="1028" w:type="dxa"/>
            <w:vAlign w:val="center"/>
          </w:tcPr>
          <w:p>
            <w:pPr>
              <w:jc w:val="center"/>
            </w:pPr>
            <w:r>
              <w:rPr>
                <w:rFonts w:hint="eastAsia"/>
              </w:rPr>
              <w:t>2</w:t>
            </w:r>
          </w:p>
        </w:tc>
        <w:tc>
          <w:tcPr>
            <w:tcW w:w="1819" w:type="dxa"/>
            <w:vAlign w:val="center"/>
          </w:tcPr>
          <w:p>
            <w:pPr>
              <w:jc w:val="center"/>
            </w:pPr>
            <w:r>
              <w:rPr>
                <w:rFonts w:hint="eastAsia"/>
              </w:rPr>
              <w:t>DN350</w:t>
            </w:r>
            <w:r>
              <w:rPr>
                <w:rFonts w:ascii="Arial" w:hAnsi="Arial" w:cs="Arial"/>
              </w:rPr>
              <w:t>×</w:t>
            </w:r>
            <w:r>
              <w:rPr>
                <w:rFonts w:hint="eastAsia"/>
              </w:rPr>
              <w:t>500:</w:t>
            </w:r>
          </w:p>
          <w:p>
            <w:pPr>
              <w:jc w:val="center"/>
            </w:pPr>
            <w:r>
              <w:rPr>
                <w:rFonts w:hint="eastAsia"/>
              </w:rPr>
              <w:t>V=480L</w:t>
            </w:r>
          </w:p>
        </w:tc>
        <w:tc>
          <w:tcPr>
            <w:tcW w:w="1594" w:type="dxa"/>
            <w:vAlign w:val="center"/>
          </w:tcPr>
          <w:p>
            <w:pPr>
              <w:jc w:val="center"/>
            </w:pPr>
            <w:r>
              <w:rPr>
                <w:rFonts w:hint="eastAsia"/>
              </w:rPr>
              <w:t>60/90</w:t>
            </w:r>
          </w:p>
        </w:tc>
        <w:tc>
          <w:tcPr>
            <w:tcW w:w="1949" w:type="dxa"/>
            <w:vAlign w:val="center"/>
          </w:tcPr>
          <w:p>
            <w:pPr>
              <w:jc w:val="center"/>
            </w:pPr>
            <w:r>
              <w:rPr>
                <w:rFonts w:hint="eastAsia"/>
              </w:rPr>
              <w:t>0.6/0.7</w:t>
            </w:r>
          </w:p>
        </w:tc>
        <w:tc>
          <w:tcPr>
            <w:tcW w:w="1524" w:type="dxa"/>
            <w:vAlign w:val="center"/>
          </w:tcPr>
          <w:p>
            <w:pPr>
              <w:jc w:val="center"/>
            </w:pPr>
            <w:r>
              <w:rPr>
                <w:rFonts w:hint="eastAsia"/>
              </w:rPr>
              <w:t>稳定剂</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2</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29</w:t>
            </w:r>
          </w:p>
        </w:tc>
        <w:tc>
          <w:tcPr>
            <w:tcW w:w="1404" w:type="dxa"/>
            <w:vAlign w:val="center"/>
          </w:tcPr>
          <w:p>
            <w:pPr>
              <w:jc w:val="center"/>
            </w:pPr>
            <w:r>
              <w:rPr>
                <w:rFonts w:hint="eastAsia"/>
              </w:rPr>
              <w:t>仪表空气缓冲罐</w:t>
            </w:r>
          </w:p>
        </w:tc>
        <w:tc>
          <w:tcPr>
            <w:tcW w:w="1086" w:type="dxa"/>
            <w:vAlign w:val="center"/>
          </w:tcPr>
          <w:p>
            <w:pPr>
              <w:jc w:val="center"/>
            </w:pPr>
            <w:r>
              <w:rPr>
                <w:rFonts w:hint="eastAsia"/>
              </w:rPr>
              <w:t>Q235B</w:t>
            </w:r>
          </w:p>
        </w:tc>
        <w:tc>
          <w:tcPr>
            <w:tcW w:w="1028" w:type="dxa"/>
            <w:vAlign w:val="center"/>
          </w:tcPr>
          <w:p>
            <w:pPr>
              <w:jc w:val="center"/>
            </w:pPr>
            <w:r>
              <w:rPr>
                <w:rFonts w:hint="eastAsia"/>
              </w:rPr>
              <w:t>2</w:t>
            </w:r>
          </w:p>
        </w:tc>
        <w:tc>
          <w:tcPr>
            <w:tcW w:w="1819" w:type="dxa"/>
            <w:vAlign w:val="center"/>
          </w:tcPr>
          <w:p>
            <w:pPr>
              <w:jc w:val="center"/>
            </w:pPr>
            <w:r>
              <w:rPr>
                <w:rFonts w:hint="eastAsia"/>
              </w:rPr>
              <w:t>DN1800</w:t>
            </w:r>
            <w:r>
              <w:rPr>
                <w:rFonts w:ascii="Arial" w:hAnsi="Arial" w:cs="Arial"/>
              </w:rPr>
              <w:t>×</w:t>
            </w:r>
            <w:r>
              <w:rPr>
                <w:rFonts w:hint="eastAsia"/>
              </w:rPr>
              <w:t>3000:</w:t>
            </w:r>
          </w:p>
          <w:p>
            <w:pPr>
              <w:jc w:val="center"/>
            </w:pPr>
            <w:r>
              <w:rPr>
                <w:rFonts w:hint="eastAsia"/>
              </w:rPr>
              <w:t>V=9m</w:t>
            </w:r>
            <w:r>
              <w:rPr>
                <w:rFonts w:hint="eastAsia"/>
                <w:vertAlign w:val="superscript"/>
              </w:rPr>
              <w:t>3</w:t>
            </w:r>
          </w:p>
        </w:tc>
        <w:tc>
          <w:tcPr>
            <w:tcW w:w="1594" w:type="dxa"/>
            <w:vAlign w:val="center"/>
          </w:tcPr>
          <w:p>
            <w:pPr>
              <w:jc w:val="center"/>
            </w:pPr>
            <w:r>
              <w:rPr>
                <w:rFonts w:hint="eastAsia"/>
              </w:rPr>
              <w:t>30/50</w:t>
            </w:r>
          </w:p>
        </w:tc>
        <w:tc>
          <w:tcPr>
            <w:tcW w:w="1949" w:type="dxa"/>
            <w:vAlign w:val="center"/>
          </w:tcPr>
          <w:p>
            <w:pPr>
              <w:jc w:val="center"/>
            </w:pPr>
            <w:r>
              <w:rPr>
                <w:rFonts w:hint="eastAsia"/>
              </w:rPr>
              <w:t>0.8/0.9</w:t>
            </w:r>
          </w:p>
        </w:tc>
        <w:tc>
          <w:tcPr>
            <w:tcW w:w="1524" w:type="dxa"/>
            <w:vAlign w:val="center"/>
          </w:tcPr>
          <w:p>
            <w:pPr>
              <w:jc w:val="center"/>
            </w:pPr>
            <w:r>
              <w:rPr>
                <w:rFonts w:hint="eastAsia"/>
              </w:rPr>
              <w:t>仪表空气</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2</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30</w:t>
            </w:r>
          </w:p>
        </w:tc>
        <w:tc>
          <w:tcPr>
            <w:tcW w:w="1404" w:type="dxa"/>
            <w:vAlign w:val="center"/>
          </w:tcPr>
          <w:p>
            <w:pPr>
              <w:jc w:val="center"/>
            </w:pPr>
            <w:r>
              <w:rPr>
                <w:rFonts w:hint="eastAsia"/>
              </w:rPr>
              <w:t>工艺空气缓冲罐</w:t>
            </w:r>
          </w:p>
        </w:tc>
        <w:tc>
          <w:tcPr>
            <w:tcW w:w="1086" w:type="dxa"/>
            <w:vAlign w:val="center"/>
          </w:tcPr>
          <w:p>
            <w:pPr>
              <w:jc w:val="center"/>
            </w:pPr>
            <w:r>
              <w:rPr>
                <w:rFonts w:hint="eastAsia"/>
              </w:rPr>
              <w:t>Q235B</w:t>
            </w:r>
          </w:p>
        </w:tc>
        <w:tc>
          <w:tcPr>
            <w:tcW w:w="1028" w:type="dxa"/>
            <w:vAlign w:val="center"/>
          </w:tcPr>
          <w:p>
            <w:pPr>
              <w:jc w:val="center"/>
            </w:pPr>
            <w:r>
              <w:rPr>
                <w:rFonts w:hint="eastAsia"/>
              </w:rPr>
              <w:t>2</w:t>
            </w:r>
          </w:p>
        </w:tc>
        <w:tc>
          <w:tcPr>
            <w:tcW w:w="1819" w:type="dxa"/>
            <w:vAlign w:val="center"/>
          </w:tcPr>
          <w:p>
            <w:pPr>
              <w:jc w:val="center"/>
            </w:pPr>
            <w:r>
              <w:rPr>
                <w:rFonts w:hint="eastAsia"/>
              </w:rPr>
              <w:t>DN1800</w:t>
            </w:r>
            <w:r>
              <w:rPr>
                <w:rFonts w:ascii="Arial" w:hAnsi="Arial" w:cs="Arial"/>
              </w:rPr>
              <w:t>×</w:t>
            </w:r>
            <w:r>
              <w:rPr>
                <w:rFonts w:hint="eastAsia"/>
              </w:rPr>
              <w:t>3000:</w:t>
            </w:r>
          </w:p>
          <w:p>
            <w:pPr>
              <w:jc w:val="center"/>
            </w:pPr>
            <w:r>
              <w:rPr>
                <w:rFonts w:hint="eastAsia"/>
              </w:rPr>
              <w:t>V=9m</w:t>
            </w:r>
            <w:r>
              <w:rPr>
                <w:rFonts w:hint="eastAsia"/>
                <w:vertAlign w:val="superscript"/>
              </w:rPr>
              <w:t>3</w:t>
            </w:r>
          </w:p>
        </w:tc>
        <w:tc>
          <w:tcPr>
            <w:tcW w:w="1594" w:type="dxa"/>
            <w:vAlign w:val="center"/>
          </w:tcPr>
          <w:p>
            <w:pPr>
              <w:jc w:val="center"/>
            </w:pPr>
            <w:r>
              <w:rPr>
                <w:rFonts w:hint="eastAsia"/>
              </w:rPr>
              <w:t>30/50</w:t>
            </w:r>
          </w:p>
        </w:tc>
        <w:tc>
          <w:tcPr>
            <w:tcW w:w="1949" w:type="dxa"/>
            <w:vAlign w:val="center"/>
          </w:tcPr>
          <w:p>
            <w:pPr>
              <w:jc w:val="center"/>
            </w:pPr>
            <w:r>
              <w:rPr>
                <w:rFonts w:hint="eastAsia"/>
              </w:rPr>
              <w:t>0.8/0.9</w:t>
            </w:r>
          </w:p>
        </w:tc>
        <w:tc>
          <w:tcPr>
            <w:tcW w:w="1524" w:type="dxa"/>
            <w:vAlign w:val="center"/>
          </w:tcPr>
          <w:p>
            <w:pPr>
              <w:jc w:val="center"/>
            </w:pPr>
            <w:r>
              <w:rPr>
                <w:rFonts w:hint="eastAsia"/>
              </w:rPr>
              <w:t>工艺空气</w:t>
            </w:r>
          </w:p>
        </w:tc>
        <w:tc>
          <w:tcPr>
            <w:tcW w:w="944" w:type="dxa"/>
            <w:vAlign w:val="center"/>
          </w:tcPr>
          <w:p>
            <w:pPr>
              <w:jc w:val="center"/>
            </w:pPr>
            <w:r>
              <w:rPr>
                <w:rFonts w:hint="eastAsia"/>
              </w:rPr>
              <w:t>新购</w:t>
            </w:r>
          </w:p>
        </w:tc>
        <w:tc>
          <w:tcPr>
            <w:tcW w:w="1131" w:type="dxa"/>
            <w:vAlign w:val="center"/>
          </w:tcPr>
          <w:p>
            <w:pPr>
              <w:jc w:val="center"/>
              <w:rPr>
                <w:b/>
                <w:bCs/>
              </w:rPr>
            </w:pPr>
            <w:r>
              <w:rPr>
                <w:rFonts w:hint="eastAsia"/>
              </w:rPr>
              <w:t>2</w:t>
            </w:r>
          </w:p>
        </w:tc>
        <w:tc>
          <w:tcPr>
            <w:tcW w:w="933" w:type="dxa"/>
            <w:vAlign w:val="center"/>
          </w:tcPr>
          <w:p>
            <w:pPr>
              <w:jc w:val="center"/>
              <w:rPr>
                <w:b/>
                <w:bCs/>
              </w:rP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6" w:type="dxa"/>
            <w:gridSpan w:val="11"/>
            <w:vAlign w:val="center"/>
          </w:tcPr>
          <w:p>
            <w:pPr>
              <w:jc w:val="center"/>
              <w:rPr>
                <w:b/>
                <w:bCs/>
              </w:rPr>
            </w:pPr>
            <w:r>
              <w:rPr>
                <w:b/>
                <w:bCs/>
              </w:rPr>
              <w:t>冷凝器/换热器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31</w:t>
            </w:r>
          </w:p>
        </w:tc>
        <w:tc>
          <w:tcPr>
            <w:tcW w:w="1404" w:type="dxa"/>
            <w:vAlign w:val="center"/>
          </w:tcPr>
          <w:p>
            <w:pPr>
              <w:jc w:val="center"/>
            </w:pPr>
            <w:r>
              <w:rPr>
                <w:rFonts w:hint="eastAsia"/>
              </w:rPr>
              <w:t>一级氯化换热器</w:t>
            </w:r>
          </w:p>
        </w:tc>
        <w:tc>
          <w:tcPr>
            <w:tcW w:w="1086" w:type="dxa"/>
            <w:vAlign w:val="center"/>
          </w:tcPr>
          <w:p>
            <w:pPr>
              <w:jc w:val="center"/>
            </w:pPr>
            <w:r>
              <w:rPr>
                <w:rFonts w:hint="eastAsia"/>
              </w:rPr>
              <w:t>碳钢＋石</w:t>
            </w:r>
          </w:p>
          <w:p>
            <w:pPr>
              <w:jc w:val="center"/>
            </w:pPr>
            <w:r>
              <w:rPr>
                <w:rFonts w:hint="eastAsia"/>
              </w:rPr>
              <w:t>墨</w:t>
            </w:r>
          </w:p>
        </w:tc>
        <w:tc>
          <w:tcPr>
            <w:tcW w:w="1028" w:type="dxa"/>
            <w:vAlign w:val="center"/>
          </w:tcPr>
          <w:p>
            <w:pPr>
              <w:jc w:val="center"/>
            </w:pPr>
            <w:r>
              <w:rPr>
                <w:rFonts w:hint="eastAsia"/>
              </w:rPr>
              <w:t>8</w:t>
            </w:r>
          </w:p>
        </w:tc>
        <w:tc>
          <w:tcPr>
            <w:tcW w:w="1819" w:type="dxa"/>
            <w:vAlign w:val="center"/>
          </w:tcPr>
          <w:p>
            <w:pPr>
              <w:jc w:val="center"/>
            </w:pPr>
            <w:r>
              <w:rPr>
                <w:rFonts w:hint="eastAsia"/>
              </w:rPr>
              <w:t>挂耳立式：</w:t>
            </w:r>
          </w:p>
          <w:p>
            <w:pPr>
              <w:jc w:val="center"/>
            </w:pPr>
            <w:r>
              <w:rPr>
                <w:rFonts w:hint="eastAsia"/>
              </w:rPr>
              <w:t>F=60m</w:t>
            </w:r>
            <w:r>
              <w:rPr>
                <w:rFonts w:hint="eastAsia"/>
                <w:vertAlign w:val="superscript"/>
              </w:rPr>
              <w:t>2</w:t>
            </w:r>
          </w:p>
        </w:tc>
        <w:tc>
          <w:tcPr>
            <w:tcW w:w="1594" w:type="dxa"/>
            <w:vAlign w:val="center"/>
          </w:tcPr>
          <w:p>
            <w:pPr>
              <w:jc w:val="center"/>
            </w:pPr>
            <w:r>
              <w:rPr>
                <w:rFonts w:hint="eastAsia"/>
              </w:rPr>
              <w:t>管程：110/160</w:t>
            </w:r>
          </w:p>
          <w:p>
            <w:pPr>
              <w:jc w:val="center"/>
            </w:pPr>
            <w:r>
              <w:rPr>
                <w:rFonts w:hint="eastAsia"/>
              </w:rPr>
              <w:t>壳程：30/60</w:t>
            </w:r>
          </w:p>
        </w:tc>
        <w:tc>
          <w:tcPr>
            <w:tcW w:w="1949" w:type="dxa"/>
            <w:vAlign w:val="center"/>
          </w:tcPr>
          <w:p>
            <w:pPr>
              <w:jc w:val="center"/>
            </w:pPr>
            <w:r>
              <w:rPr>
                <w:rFonts w:hint="eastAsia"/>
              </w:rPr>
              <w:t>管程：0.06～</w:t>
            </w:r>
          </w:p>
          <w:p>
            <w:pPr>
              <w:jc w:val="center"/>
            </w:pPr>
            <w:r>
              <w:rPr>
                <w:rFonts w:hint="eastAsia"/>
              </w:rPr>
              <w:t>0.08/0.1</w:t>
            </w:r>
          </w:p>
          <w:p>
            <w:pPr>
              <w:jc w:val="center"/>
            </w:pPr>
            <w:r>
              <w:rPr>
                <w:rFonts w:hint="eastAsia"/>
              </w:rPr>
              <w:t>壳程：0.4</w:t>
            </w:r>
            <w:r>
              <w:rPr>
                <w:rFonts w:hint="eastAsia"/>
                <w:lang w:val="en-US" w:eastAsia="zh-CN"/>
              </w:rPr>
              <w:t>/</w:t>
            </w:r>
            <w:r>
              <w:rPr>
                <w:rFonts w:hint="eastAsia"/>
              </w:rPr>
              <w:t>0.5</w:t>
            </w:r>
          </w:p>
        </w:tc>
        <w:tc>
          <w:tcPr>
            <w:tcW w:w="1524" w:type="dxa"/>
            <w:vAlign w:val="center"/>
          </w:tcPr>
          <w:p>
            <w:pPr>
              <w:jc w:val="center"/>
            </w:pPr>
            <w:r>
              <w:rPr>
                <w:rFonts w:hint="eastAsia"/>
              </w:rPr>
              <w:t>管程：氯化石蜡</w:t>
            </w:r>
          </w:p>
          <w:p>
            <w:pPr>
              <w:jc w:val="center"/>
            </w:pPr>
            <w:r>
              <w:rPr>
                <w:rFonts w:hint="eastAsia"/>
              </w:rPr>
              <w:t>壳程：循环水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32</w:t>
            </w:r>
          </w:p>
        </w:tc>
        <w:tc>
          <w:tcPr>
            <w:tcW w:w="1404" w:type="dxa"/>
            <w:vAlign w:val="center"/>
          </w:tcPr>
          <w:p>
            <w:pPr>
              <w:jc w:val="center"/>
            </w:pPr>
            <w:r>
              <w:rPr>
                <w:rFonts w:hint="eastAsia"/>
              </w:rPr>
              <w:t>二级氯化换热器</w:t>
            </w:r>
          </w:p>
        </w:tc>
        <w:tc>
          <w:tcPr>
            <w:tcW w:w="1086" w:type="dxa"/>
            <w:vAlign w:val="center"/>
          </w:tcPr>
          <w:p>
            <w:pPr>
              <w:jc w:val="center"/>
            </w:pPr>
            <w:r>
              <w:rPr>
                <w:rFonts w:hint="eastAsia"/>
              </w:rPr>
              <w:t>碳钢＋石</w:t>
            </w:r>
          </w:p>
          <w:p>
            <w:pPr>
              <w:jc w:val="center"/>
            </w:pPr>
            <w:r>
              <w:rPr>
                <w:rFonts w:hint="eastAsia"/>
              </w:rPr>
              <w:t>墨</w:t>
            </w:r>
          </w:p>
        </w:tc>
        <w:tc>
          <w:tcPr>
            <w:tcW w:w="1028" w:type="dxa"/>
            <w:vAlign w:val="center"/>
          </w:tcPr>
          <w:p>
            <w:pPr>
              <w:jc w:val="center"/>
            </w:pPr>
            <w:r>
              <w:rPr>
                <w:rFonts w:hint="eastAsia"/>
              </w:rPr>
              <w:t>8</w:t>
            </w:r>
          </w:p>
        </w:tc>
        <w:tc>
          <w:tcPr>
            <w:tcW w:w="1819" w:type="dxa"/>
            <w:vAlign w:val="center"/>
          </w:tcPr>
          <w:p>
            <w:pPr>
              <w:jc w:val="center"/>
            </w:pPr>
            <w:r>
              <w:rPr>
                <w:rFonts w:hint="eastAsia"/>
              </w:rPr>
              <w:t>挂耳立式：</w:t>
            </w:r>
          </w:p>
          <w:p>
            <w:pPr>
              <w:jc w:val="center"/>
            </w:pPr>
            <w:r>
              <w:rPr>
                <w:rFonts w:hint="eastAsia"/>
              </w:rPr>
              <w:t>F=60m</w:t>
            </w:r>
            <w:r>
              <w:rPr>
                <w:rFonts w:hint="eastAsia"/>
                <w:vertAlign w:val="superscript"/>
              </w:rPr>
              <w:t>2</w:t>
            </w:r>
          </w:p>
        </w:tc>
        <w:tc>
          <w:tcPr>
            <w:tcW w:w="1594" w:type="dxa"/>
            <w:vAlign w:val="center"/>
          </w:tcPr>
          <w:p>
            <w:pPr>
              <w:jc w:val="center"/>
            </w:pPr>
            <w:r>
              <w:rPr>
                <w:rFonts w:hint="eastAsia"/>
              </w:rPr>
              <w:t>管程：110/160</w:t>
            </w:r>
          </w:p>
          <w:p>
            <w:pPr>
              <w:jc w:val="center"/>
            </w:pPr>
            <w:r>
              <w:rPr>
                <w:rFonts w:hint="eastAsia"/>
              </w:rPr>
              <w:t>壳程：30/60</w:t>
            </w:r>
          </w:p>
        </w:tc>
        <w:tc>
          <w:tcPr>
            <w:tcW w:w="1949" w:type="dxa"/>
            <w:vAlign w:val="center"/>
          </w:tcPr>
          <w:p>
            <w:pPr>
              <w:jc w:val="center"/>
            </w:pPr>
            <w:r>
              <w:rPr>
                <w:rFonts w:hint="eastAsia"/>
              </w:rPr>
              <w:t>管程：0.06～</w:t>
            </w:r>
          </w:p>
          <w:p>
            <w:pPr>
              <w:jc w:val="center"/>
            </w:pPr>
            <w:r>
              <w:rPr>
                <w:rFonts w:hint="eastAsia"/>
              </w:rPr>
              <w:t>0.08/0.1</w:t>
            </w:r>
          </w:p>
          <w:p>
            <w:pPr>
              <w:jc w:val="center"/>
            </w:pPr>
            <w:r>
              <w:rPr>
                <w:rFonts w:hint="eastAsia"/>
              </w:rPr>
              <w:t>壳程：0.4</w:t>
            </w:r>
            <w:r>
              <w:rPr>
                <w:rFonts w:hint="eastAsia"/>
                <w:lang w:val="en-US" w:eastAsia="zh-CN"/>
              </w:rPr>
              <w:t>/</w:t>
            </w:r>
            <w:r>
              <w:rPr>
                <w:rFonts w:hint="eastAsia"/>
              </w:rPr>
              <w:t>0.5</w:t>
            </w:r>
          </w:p>
        </w:tc>
        <w:tc>
          <w:tcPr>
            <w:tcW w:w="1524" w:type="dxa"/>
            <w:vAlign w:val="center"/>
          </w:tcPr>
          <w:p>
            <w:pPr>
              <w:jc w:val="center"/>
            </w:pPr>
            <w:r>
              <w:rPr>
                <w:rFonts w:hint="eastAsia"/>
              </w:rPr>
              <w:t>管程：氯化石蜡</w:t>
            </w:r>
          </w:p>
          <w:p>
            <w:pPr>
              <w:jc w:val="center"/>
            </w:pPr>
            <w:r>
              <w:rPr>
                <w:rFonts w:hint="eastAsia"/>
              </w:rPr>
              <w:t>壳程：循环水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33</w:t>
            </w:r>
          </w:p>
        </w:tc>
        <w:tc>
          <w:tcPr>
            <w:tcW w:w="1404" w:type="dxa"/>
            <w:vAlign w:val="center"/>
          </w:tcPr>
          <w:p>
            <w:pPr>
              <w:jc w:val="center"/>
            </w:pPr>
            <w:r>
              <w:rPr>
                <w:rFonts w:hint="eastAsia"/>
              </w:rPr>
              <w:t>三级氯化换热器</w:t>
            </w:r>
          </w:p>
        </w:tc>
        <w:tc>
          <w:tcPr>
            <w:tcW w:w="1086" w:type="dxa"/>
            <w:vAlign w:val="center"/>
          </w:tcPr>
          <w:p>
            <w:pPr>
              <w:jc w:val="center"/>
            </w:pPr>
            <w:r>
              <w:rPr>
                <w:rFonts w:hint="eastAsia"/>
              </w:rPr>
              <w:t>碳钢＋石</w:t>
            </w:r>
          </w:p>
          <w:p>
            <w:pPr>
              <w:jc w:val="center"/>
            </w:pPr>
            <w:r>
              <w:rPr>
                <w:rFonts w:hint="eastAsia"/>
              </w:rPr>
              <w:t>墨</w:t>
            </w:r>
          </w:p>
        </w:tc>
        <w:tc>
          <w:tcPr>
            <w:tcW w:w="1028" w:type="dxa"/>
            <w:vAlign w:val="center"/>
          </w:tcPr>
          <w:p>
            <w:pPr>
              <w:jc w:val="center"/>
            </w:pPr>
            <w:r>
              <w:rPr>
                <w:rFonts w:hint="eastAsia"/>
              </w:rPr>
              <w:t>8</w:t>
            </w:r>
          </w:p>
        </w:tc>
        <w:tc>
          <w:tcPr>
            <w:tcW w:w="1819" w:type="dxa"/>
            <w:vAlign w:val="center"/>
          </w:tcPr>
          <w:p>
            <w:pPr>
              <w:jc w:val="center"/>
            </w:pPr>
            <w:r>
              <w:rPr>
                <w:rFonts w:hint="eastAsia"/>
              </w:rPr>
              <w:t>挂耳立式</w:t>
            </w:r>
          </w:p>
          <w:p>
            <w:pPr>
              <w:jc w:val="center"/>
            </w:pPr>
            <w:r>
              <w:rPr>
                <w:rFonts w:hint="eastAsia"/>
              </w:rPr>
              <w:t>F=60m</w:t>
            </w:r>
            <w:r>
              <w:rPr>
                <w:rFonts w:hint="eastAsia"/>
                <w:vertAlign w:val="superscript"/>
              </w:rPr>
              <w:t>2</w:t>
            </w:r>
            <w:r>
              <w:rPr>
                <w:rFonts w:hint="eastAsia"/>
                <w:vertAlign w:val="superscript"/>
              </w:rPr>
              <w:tab/>
            </w:r>
          </w:p>
        </w:tc>
        <w:tc>
          <w:tcPr>
            <w:tcW w:w="1594" w:type="dxa"/>
            <w:vAlign w:val="center"/>
          </w:tcPr>
          <w:p>
            <w:pPr>
              <w:jc w:val="center"/>
            </w:pPr>
            <w:r>
              <w:rPr>
                <w:rFonts w:hint="eastAsia"/>
              </w:rPr>
              <w:t>管程：110/160</w:t>
            </w:r>
          </w:p>
          <w:p>
            <w:pPr>
              <w:jc w:val="center"/>
            </w:pPr>
            <w:r>
              <w:rPr>
                <w:rFonts w:hint="eastAsia"/>
              </w:rPr>
              <w:t>壳程：30/60</w:t>
            </w:r>
          </w:p>
        </w:tc>
        <w:tc>
          <w:tcPr>
            <w:tcW w:w="1949" w:type="dxa"/>
            <w:vAlign w:val="center"/>
          </w:tcPr>
          <w:p>
            <w:pPr>
              <w:jc w:val="center"/>
            </w:pPr>
            <w:r>
              <w:rPr>
                <w:rFonts w:hint="eastAsia"/>
              </w:rPr>
              <w:t>管程：0.06～</w:t>
            </w:r>
          </w:p>
          <w:p>
            <w:pPr>
              <w:jc w:val="center"/>
            </w:pPr>
            <w:r>
              <w:rPr>
                <w:rFonts w:hint="eastAsia"/>
              </w:rPr>
              <w:t>0.08/0.1</w:t>
            </w:r>
          </w:p>
          <w:p>
            <w:pPr>
              <w:jc w:val="center"/>
            </w:pPr>
            <w:r>
              <w:rPr>
                <w:rFonts w:hint="eastAsia"/>
              </w:rPr>
              <w:t>壳程：0.4</w:t>
            </w:r>
            <w:r>
              <w:rPr>
                <w:rFonts w:hint="eastAsia"/>
                <w:lang w:val="en-US" w:eastAsia="zh-CN"/>
              </w:rPr>
              <w:t>/</w:t>
            </w:r>
            <w:r>
              <w:rPr>
                <w:rFonts w:hint="eastAsia"/>
              </w:rPr>
              <w:t>0.5</w:t>
            </w:r>
          </w:p>
        </w:tc>
        <w:tc>
          <w:tcPr>
            <w:tcW w:w="1524" w:type="dxa"/>
            <w:vAlign w:val="center"/>
          </w:tcPr>
          <w:p>
            <w:pPr>
              <w:jc w:val="center"/>
            </w:pPr>
            <w:r>
              <w:rPr>
                <w:rFonts w:hint="eastAsia"/>
              </w:rPr>
              <w:t>管程：氯化石蜡</w:t>
            </w:r>
          </w:p>
          <w:p>
            <w:r>
              <w:rPr>
                <w:rFonts w:hint="eastAsia"/>
              </w:rPr>
              <w:t>壳程：循环水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34</w:t>
            </w:r>
          </w:p>
        </w:tc>
        <w:tc>
          <w:tcPr>
            <w:tcW w:w="1404" w:type="dxa"/>
            <w:vAlign w:val="center"/>
          </w:tcPr>
          <w:p>
            <w:pPr>
              <w:jc w:val="center"/>
            </w:pPr>
            <w:r>
              <w:rPr>
                <w:rFonts w:hint="eastAsia"/>
              </w:rPr>
              <w:t>四级氯化换热器</w:t>
            </w:r>
          </w:p>
          <w:p>
            <w:pPr>
              <w:jc w:val="center"/>
            </w:pPr>
          </w:p>
        </w:tc>
        <w:tc>
          <w:tcPr>
            <w:tcW w:w="1086" w:type="dxa"/>
            <w:vAlign w:val="center"/>
          </w:tcPr>
          <w:p>
            <w:pPr>
              <w:jc w:val="center"/>
            </w:pPr>
            <w:r>
              <w:rPr>
                <w:rFonts w:hint="eastAsia"/>
              </w:rPr>
              <w:t>碳钢＋石</w:t>
            </w:r>
          </w:p>
          <w:p>
            <w:pPr>
              <w:jc w:val="center"/>
            </w:pPr>
            <w:r>
              <w:rPr>
                <w:rFonts w:hint="eastAsia"/>
              </w:rPr>
              <w:t>墨</w:t>
            </w:r>
          </w:p>
        </w:tc>
        <w:tc>
          <w:tcPr>
            <w:tcW w:w="1028" w:type="dxa"/>
            <w:vAlign w:val="center"/>
          </w:tcPr>
          <w:p>
            <w:pPr>
              <w:jc w:val="center"/>
            </w:pPr>
            <w:r>
              <w:rPr>
                <w:rFonts w:hint="eastAsia"/>
              </w:rPr>
              <w:t>8</w:t>
            </w:r>
          </w:p>
        </w:tc>
        <w:tc>
          <w:tcPr>
            <w:tcW w:w="1819" w:type="dxa"/>
            <w:vAlign w:val="center"/>
          </w:tcPr>
          <w:p>
            <w:pPr>
              <w:jc w:val="center"/>
            </w:pPr>
            <w:r>
              <w:rPr>
                <w:rFonts w:hint="eastAsia"/>
              </w:rPr>
              <w:t>挂耳立式：</w:t>
            </w:r>
          </w:p>
          <w:p>
            <w:pPr>
              <w:jc w:val="center"/>
            </w:pPr>
            <w:r>
              <w:rPr>
                <w:rFonts w:hint="eastAsia"/>
              </w:rPr>
              <w:t>F=60m</w:t>
            </w:r>
            <w:r>
              <w:rPr>
                <w:rFonts w:hint="eastAsia"/>
                <w:vertAlign w:val="superscript"/>
              </w:rPr>
              <w:t>2</w:t>
            </w:r>
            <w:r>
              <w:rPr>
                <w:rFonts w:hint="eastAsia"/>
                <w:vertAlign w:val="superscript"/>
              </w:rPr>
              <w:tab/>
            </w:r>
          </w:p>
        </w:tc>
        <w:tc>
          <w:tcPr>
            <w:tcW w:w="1594" w:type="dxa"/>
            <w:vAlign w:val="center"/>
          </w:tcPr>
          <w:p>
            <w:r>
              <w:rPr>
                <w:rFonts w:hint="eastAsia"/>
              </w:rPr>
              <w:t>管程：110/160</w:t>
            </w:r>
          </w:p>
          <w:p>
            <w:r>
              <w:rPr>
                <w:rFonts w:hint="eastAsia"/>
              </w:rPr>
              <w:t>壳程：30/60</w:t>
            </w:r>
          </w:p>
        </w:tc>
        <w:tc>
          <w:tcPr>
            <w:tcW w:w="1949" w:type="dxa"/>
            <w:vAlign w:val="center"/>
          </w:tcPr>
          <w:p>
            <w:pPr>
              <w:jc w:val="center"/>
            </w:pPr>
            <w:r>
              <w:rPr>
                <w:rFonts w:hint="eastAsia"/>
              </w:rPr>
              <w:t>管程：0.06～</w:t>
            </w:r>
          </w:p>
          <w:p>
            <w:pPr>
              <w:jc w:val="center"/>
            </w:pPr>
            <w:r>
              <w:rPr>
                <w:rFonts w:hint="eastAsia"/>
              </w:rPr>
              <w:t>0.08/0.1</w:t>
            </w:r>
          </w:p>
          <w:p>
            <w:pPr>
              <w:jc w:val="center"/>
            </w:pPr>
            <w:r>
              <w:rPr>
                <w:rFonts w:hint="eastAsia"/>
              </w:rPr>
              <w:t>壳程：0.4</w:t>
            </w:r>
            <w:r>
              <w:rPr>
                <w:rFonts w:hint="eastAsia"/>
                <w:lang w:val="en-US" w:eastAsia="zh-CN"/>
              </w:rPr>
              <w:t>/</w:t>
            </w:r>
            <w:r>
              <w:rPr>
                <w:rFonts w:hint="eastAsia"/>
              </w:rPr>
              <w:t>0.5</w:t>
            </w:r>
          </w:p>
        </w:tc>
        <w:tc>
          <w:tcPr>
            <w:tcW w:w="1524" w:type="dxa"/>
            <w:vAlign w:val="center"/>
          </w:tcPr>
          <w:p>
            <w:pPr>
              <w:jc w:val="center"/>
            </w:pPr>
            <w:r>
              <w:rPr>
                <w:rFonts w:hint="eastAsia"/>
              </w:rPr>
              <w:t>管程：氯化石蜡</w:t>
            </w:r>
          </w:p>
          <w:p>
            <w:pPr>
              <w:jc w:val="center"/>
            </w:pPr>
            <w:r>
              <w:rPr>
                <w:rFonts w:hint="eastAsia"/>
              </w:rPr>
              <w:t>壳程：循环水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35</w:t>
            </w:r>
          </w:p>
        </w:tc>
        <w:tc>
          <w:tcPr>
            <w:tcW w:w="1404" w:type="dxa"/>
            <w:vAlign w:val="center"/>
          </w:tcPr>
          <w:p>
            <w:pPr>
              <w:jc w:val="center"/>
            </w:pPr>
            <w:r>
              <w:rPr>
                <w:rFonts w:hint="eastAsia"/>
              </w:rPr>
              <w:t>五级氯化换热器</w:t>
            </w:r>
          </w:p>
        </w:tc>
        <w:tc>
          <w:tcPr>
            <w:tcW w:w="1086" w:type="dxa"/>
            <w:vAlign w:val="center"/>
          </w:tcPr>
          <w:p>
            <w:pPr>
              <w:jc w:val="center"/>
            </w:pPr>
            <w:r>
              <w:rPr>
                <w:rFonts w:hint="eastAsia"/>
              </w:rPr>
              <w:t>碳钢＋石</w:t>
            </w:r>
          </w:p>
          <w:p>
            <w:pPr>
              <w:jc w:val="center"/>
            </w:pPr>
            <w:r>
              <w:rPr>
                <w:rFonts w:hint="eastAsia"/>
              </w:rPr>
              <w:t>墨</w:t>
            </w:r>
          </w:p>
        </w:tc>
        <w:tc>
          <w:tcPr>
            <w:tcW w:w="1028" w:type="dxa"/>
            <w:vAlign w:val="center"/>
          </w:tcPr>
          <w:p>
            <w:pPr>
              <w:jc w:val="center"/>
            </w:pPr>
            <w:r>
              <w:rPr>
                <w:rFonts w:hint="eastAsia"/>
              </w:rPr>
              <w:t>8</w:t>
            </w:r>
          </w:p>
        </w:tc>
        <w:tc>
          <w:tcPr>
            <w:tcW w:w="1819" w:type="dxa"/>
            <w:vAlign w:val="center"/>
          </w:tcPr>
          <w:p>
            <w:pPr>
              <w:jc w:val="center"/>
            </w:pPr>
            <w:r>
              <w:rPr>
                <w:rFonts w:hint="eastAsia"/>
              </w:rPr>
              <w:t>挂耳立式：</w:t>
            </w:r>
          </w:p>
          <w:p>
            <w:pPr>
              <w:jc w:val="center"/>
            </w:pPr>
            <w:r>
              <w:rPr>
                <w:rFonts w:hint="eastAsia"/>
              </w:rPr>
              <w:t>F=60m</w:t>
            </w:r>
            <w:r>
              <w:rPr>
                <w:rFonts w:hint="eastAsia"/>
                <w:vertAlign w:val="superscript"/>
              </w:rPr>
              <w:t>2</w:t>
            </w:r>
            <w:r>
              <w:rPr>
                <w:rFonts w:hint="eastAsia"/>
                <w:vertAlign w:val="superscript"/>
              </w:rPr>
              <w:tab/>
            </w:r>
          </w:p>
        </w:tc>
        <w:tc>
          <w:tcPr>
            <w:tcW w:w="1594" w:type="dxa"/>
            <w:vAlign w:val="center"/>
          </w:tcPr>
          <w:p>
            <w:r>
              <w:rPr>
                <w:rFonts w:hint="eastAsia"/>
              </w:rPr>
              <w:t>管程：110/160</w:t>
            </w:r>
          </w:p>
          <w:p>
            <w:r>
              <w:rPr>
                <w:rFonts w:hint="eastAsia"/>
              </w:rPr>
              <w:t>壳程：30/60</w:t>
            </w:r>
          </w:p>
        </w:tc>
        <w:tc>
          <w:tcPr>
            <w:tcW w:w="1949" w:type="dxa"/>
            <w:vAlign w:val="center"/>
          </w:tcPr>
          <w:p>
            <w:pPr>
              <w:jc w:val="center"/>
            </w:pPr>
            <w:r>
              <w:rPr>
                <w:rFonts w:hint="eastAsia"/>
              </w:rPr>
              <w:t>管程：0.06～</w:t>
            </w:r>
          </w:p>
          <w:p>
            <w:pPr>
              <w:jc w:val="center"/>
            </w:pPr>
            <w:r>
              <w:rPr>
                <w:rFonts w:hint="eastAsia"/>
              </w:rPr>
              <w:t>0.08/0.1</w:t>
            </w:r>
          </w:p>
          <w:p>
            <w:pPr>
              <w:jc w:val="center"/>
            </w:pPr>
            <w:r>
              <w:rPr>
                <w:rFonts w:hint="eastAsia"/>
              </w:rPr>
              <w:t>壳程：0.4</w:t>
            </w:r>
            <w:r>
              <w:rPr>
                <w:rFonts w:hint="eastAsia"/>
                <w:lang w:val="en-US" w:eastAsia="zh-CN"/>
              </w:rPr>
              <w:t>/</w:t>
            </w:r>
            <w:r>
              <w:rPr>
                <w:rFonts w:hint="eastAsia"/>
              </w:rPr>
              <w:t>0.5</w:t>
            </w:r>
          </w:p>
        </w:tc>
        <w:tc>
          <w:tcPr>
            <w:tcW w:w="1524" w:type="dxa"/>
            <w:vAlign w:val="center"/>
          </w:tcPr>
          <w:p>
            <w:pPr>
              <w:jc w:val="center"/>
            </w:pPr>
            <w:r>
              <w:rPr>
                <w:rFonts w:hint="eastAsia"/>
              </w:rPr>
              <w:t>管程：氯化石蜡</w:t>
            </w:r>
          </w:p>
          <w:p>
            <w:pPr>
              <w:jc w:val="center"/>
            </w:pPr>
            <w:r>
              <w:rPr>
                <w:rFonts w:hint="eastAsia"/>
              </w:rPr>
              <w:t>壳程：循环水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36</w:t>
            </w:r>
          </w:p>
        </w:tc>
        <w:tc>
          <w:tcPr>
            <w:tcW w:w="1404" w:type="dxa"/>
            <w:vAlign w:val="center"/>
          </w:tcPr>
          <w:p>
            <w:pPr>
              <w:jc w:val="center"/>
            </w:pPr>
            <w:r>
              <w:rPr>
                <w:rFonts w:hint="eastAsia"/>
              </w:rPr>
              <w:t>一级冷凝器</w:t>
            </w:r>
          </w:p>
        </w:tc>
        <w:tc>
          <w:tcPr>
            <w:tcW w:w="1086" w:type="dxa"/>
            <w:vAlign w:val="center"/>
          </w:tcPr>
          <w:p>
            <w:pPr>
              <w:jc w:val="center"/>
            </w:pPr>
            <w:r>
              <w:rPr>
                <w:rFonts w:hint="eastAsia"/>
              </w:rPr>
              <w:t>碳钢＋石</w:t>
            </w:r>
          </w:p>
          <w:p>
            <w:pPr>
              <w:jc w:val="center"/>
            </w:pPr>
            <w:r>
              <w:rPr>
                <w:rFonts w:hint="eastAsia"/>
              </w:rPr>
              <w:t>墨</w:t>
            </w:r>
          </w:p>
        </w:tc>
        <w:tc>
          <w:tcPr>
            <w:tcW w:w="1028" w:type="dxa"/>
            <w:vAlign w:val="center"/>
          </w:tcPr>
          <w:p>
            <w:pPr>
              <w:jc w:val="center"/>
            </w:pPr>
            <w:r>
              <w:rPr>
                <w:rFonts w:hint="eastAsia"/>
              </w:rPr>
              <w:t>2</w:t>
            </w:r>
          </w:p>
        </w:tc>
        <w:tc>
          <w:tcPr>
            <w:tcW w:w="1819" w:type="dxa"/>
            <w:vAlign w:val="center"/>
          </w:tcPr>
          <w:p>
            <w:pPr>
              <w:jc w:val="center"/>
            </w:pPr>
            <w:r>
              <w:rPr>
                <w:rFonts w:hint="eastAsia"/>
              </w:rPr>
              <w:t>挂耳立式：</w:t>
            </w:r>
          </w:p>
          <w:p>
            <w:pPr>
              <w:jc w:val="center"/>
            </w:pPr>
            <w:r>
              <w:rPr>
                <w:rFonts w:hint="eastAsia"/>
              </w:rPr>
              <w:t>F=80m</w:t>
            </w:r>
            <w:r>
              <w:rPr>
                <w:rFonts w:hint="eastAsia"/>
                <w:vertAlign w:val="superscript"/>
              </w:rPr>
              <w:t>2</w:t>
            </w:r>
          </w:p>
        </w:tc>
        <w:tc>
          <w:tcPr>
            <w:tcW w:w="1594" w:type="dxa"/>
            <w:vAlign w:val="center"/>
          </w:tcPr>
          <w:p>
            <w:r>
              <w:rPr>
                <w:rFonts w:hint="eastAsia"/>
              </w:rPr>
              <w:t>管程：80</w:t>
            </w:r>
            <w:r>
              <w:rPr>
                <w:rFonts w:hint="eastAsia"/>
                <w:lang w:val="en-US" w:eastAsia="zh-CN"/>
              </w:rPr>
              <w:t>/</w:t>
            </w:r>
            <w:r>
              <w:rPr>
                <w:rFonts w:hint="eastAsia"/>
              </w:rPr>
              <w:t>140壳程：-35</w:t>
            </w:r>
            <w:r>
              <w:rPr>
                <w:rFonts w:hint="eastAsia"/>
                <w:lang w:val="en-US" w:eastAsia="zh-CN"/>
              </w:rPr>
              <w:t>/</w:t>
            </w:r>
            <w:r>
              <w:rPr>
                <w:rFonts w:hint="eastAsia"/>
              </w:rPr>
              <w:t>-50</w:t>
            </w:r>
          </w:p>
        </w:tc>
        <w:tc>
          <w:tcPr>
            <w:tcW w:w="1949" w:type="dxa"/>
            <w:vAlign w:val="center"/>
          </w:tcPr>
          <w:p>
            <w:pPr>
              <w:jc w:val="center"/>
            </w:pPr>
            <w:r>
              <w:rPr>
                <w:rFonts w:hint="eastAsia"/>
              </w:rPr>
              <w:t>管程：0.06～</w:t>
            </w:r>
          </w:p>
          <w:p>
            <w:pPr>
              <w:jc w:val="center"/>
            </w:pPr>
            <w:r>
              <w:rPr>
                <w:rFonts w:hint="eastAsia"/>
              </w:rPr>
              <w:t>0.08</w:t>
            </w:r>
            <w:r>
              <w:rPr>
                <w:rFonts w:hint="eastAsia"/>
                <w:lang w:val="en-US" w:eastAsia="zh-CN"/>
              </w:rPr>
              <w:t>/</w:t>
            </w:r>
            <w:r>
              <w:rPr>
                <w:rFonts w:hint="eastAsia"/>
              </w:rPr>
              <w:t>0.1壳</w:t>
            </w:r>
          </w:p>
          <w:p>
            <w:pPr>
              <w:jc w:val="center"/>
            </w:pPr>
            <w:r>
              <w:rPr>
                <w:rFonts w:hint="eastAsia"/>
              </w:rPr>
              <w:t>程：0.4</w:t>
            </w:r>
            <w:r>
              <w:rPr>
                <w:rFonts w:hint="eastAsia"/>
                <w:lang w:val="en-US" w:eastAsia="zh-CN"/>
              </w:rPr>
              <w:t>/</w:t>
            </w:r>
            <w:r>
              <w:rPr>
                <w:rFonts w:hint="eastAsia"/>
              </w:rPr>
              <w:t>0.5</w:t>
            </w:r>
          </w:p>
        </w:tc>
        <w:tc>
          <w:tcPr>
            <w:tcW w:w="1524" w:type="dxa"/>
            <w:vAlign w:val="center"/>
          </w:tcPr>
          <w:p>
            <w:pPr>
              <w:jc w:val="center"/>
            </w:pPr>
            <w:r>
              <w:rPr>
                <w:rFonts w:hint="eastAsia"/>
              </w:rPr>
              <w:t>管程：氯化石</w:t>
            </w:r>
          </w:p>
          <w:p>
            <w:pPr>
              <w:jc w:val="center"/>
            </w:pPr>
            <w:r>
              <w:rPr>
                <w:rFonts w:hint="eastAsia"/>
              </w:rPr>
              <w:t>蜡、HCL、氯</w:t>
            </w:r>
          </w:p>
          <w:p>
            <w:pPr>
              <w:jc w:val="center"/>
            </w:pPr>
            <w:r>
              <w:rPr>
                <w:rFonts w:hint="eastAsia"/>
              </w:rPr>
              <w:t>气、氮气</w:t>
            </w:r>
          </w:p>
          <w:p>
            <w:pPr>
              <w:jc w:val="center"/>
            </w:pPr>
            <w:r>
              <w:rPr>
                <w:rFonts w:hint="eastAsia"/>
              </w:rPr>
              <w:t>壳程：冷冻水</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37</w:t>
            </w:r>
          </w:p>
        </w:tc>
        <w:tc>
          <w:tcPr>
            <w:tcW w:w="1404" w:type="dxa"/>
            <w:vAlign w:val="center"/>
          </w:tcPr>
          <w:p>
            <w:pPr>
              <w:jc w:val="center"/>
            </w:pPr>
            <w:r>
              <w:rPr>
                <w:rFonts w:hint="eastAsia"/>
              </w:rPr>
              <w:t>二级深冷冷凝器</w:t>
            </w:r>
          </w:p>
        </w:tc>
        <w:tc>
          <w:tcPr>
            <w:tcW w:w="1086" w:type="dxa"/>
            <w:vAlign w:val="center"/>
          </w:tcPr>
          <w:p>
            <w:pPr>
              <w:jc w:val="center"/>
            </w:pPr>
            <w:r>
              <w:rPr>
                <w:rFonts w:hint="eastAsia"/>
              </w:rPr>
              <w:t>碳钢＋石</w:t>
            </w:r>
          </w:p>
          <w:p>
            <w:pPr>
              <w:jc w:val="center"/>
            </w:pPr>
            <w:r>
              <w:rPr>
                <w:rFonts w:hint="eastAsia"/>
              </w:rPr>
              <w:t>墨</w:t>
            </w:r>
          </w:p>
        </w:tc>
        <w:tc>
          <w:tcPr>
            <w:tcW w:w="1028" w:type="dxa"/>
            <w:vAlign w:val="center"/>
          </w:tcPr>
          <w:p>
            <w:pPr>
              <w:jc w:val="center"/>
            </w:pPr>
            <w:r>
              <w:rPr>
                <w:rFonts w:hint="eastAsia"/>
              </w:rPr>
              <w:t>2</w:t>
            </w:r>
          </w:p>
        </w:tc>
        <w:tc>
          <w:tcPr>
            <w:tcW w:w="1819" w:type="dxa"/>
            <w:vAlign w:val="center"/>
          </w:tcPr>
          <w:p>
            <w:pPr>
              <w:jc w:val="center"/>
            </w:pPr>
            <w:r>
              <w:rPr>
                <w:rFonts w:hint="eastAsia"/>
              </w:rPr>
              <w:t>挂耳立式：</w:t>
            </w:r>
          </w:p>
          <w:p>
            <w:pPr>
              <w:jc w:val="center"/>
            </w:pPr>
            <w:r>
              <w:rPr>
                <w:rFonts w:hint="eastAsia"/>
              </w:rPr>
              <w:t>F=80m</w:t>
            </w:r>
            <w:r>
              <w:rPr>
                <w:rFonts w:hint="eastAsia"/>
                <w:vertAlign w:val="superscript"/>
              </w:rPr>
              <w:t>2</w:t>
            </w:r>
          </w:p>
        </w:tc>
        <w:tc>
          <w:tcPr>
            <w:tcW w:w="1594" w:type="dxa"/>
            <w:vAlign w:val="center"/>
          </w:tcPr>
          <w:p>
            <w:r>
              <w:rPr>
                <w:rFonts w:hint="eastAsia"/>
              </w:rPr>
              <w:t>管程：80</w:t>
            </w:r>
            <w:r>
              <w:rPr>
                <w:rFonts w:hint="eastAsia"/>
                <w:lang w:val="en-US" w:eastAsia="zh-CN"/>
              </w:rPr>
              <w:t>/</w:t>
            </w:r>
            <w:r>
              <w:rPr>
                <w:rFonts w:hint="eastAsia"/>
              </w:rPr>
              <w:t>140壳程：-35</w:t>
            </w:r>
            <w:r>
              <w:rPr>
                <w:rFonts w:hint="eastAsia"/>
                <w:lang w:val="en-US" w:eastAsia="zh-CN"/>
              </w:rPr>
              <w:t>/</w:t>
            </w:r>
            <w:r>
              <w:rPr>
                <w:rFonts w:hint="eastAsia"/>
              </w:rPr>
              <w:t>-50</w:t>
            </w:r>
          </w:p>
        </w:tc>
        <w:tc>
          <w:tcPr>
            <w:tcW w:w="1949" w:type="dxa"/>
            <w:vAlign w:val="center"/>
          </w:tcPr>
          <w:p>
            <w:pPr>
              <w:jc w:val="center"/>
            </w:pPr>
            <w:r>
              <w:rPr>
                <w:rFonts w:hint="eastAsia"/>
              </w:rPr>
              <w:t>管程：0.06～</w:t>
            </w:r>
          </w:p>
          <w:p>
            <w:pPr>
              <w:jc w:val="center"/>
            </w:pPr>
            <w:r>
              <w:rPr>
                <w:rFonts w:hint="eastAsia"/>
              </w:rPr>
              <w:t>0.08</w:t>
            </w:r>
            <w:r>
              <w:rPr>
                <w:rFonts w:hint="eastAsia"/>
                <w:lang w:val="en-US" w:eastAsia="zh-CN"/>
              </w:rPr>
              <w:t>/</w:t>
            </w:r>
            <w:r>
              <w:rPr>
                <w:rFonts w:hint="eastAsia"/>
              </w:rPr>
              <w:t>0.1壳</w:t>
            </w:r>
          </w:p>
          <w:p>
            <w:pPr>
              <w:jc w:val="center"/>
            </w:pPr>
            <w:r>
              <w:rPr>
                <w:rFonts w:hint="eastAsia"/>
              </w:rPr>
              <w:t>程：0.4</w:t>
            </w:r>
            <w:r>
              <w:rPr>
                <w:rFonts w:hint="eastAsia"/>
                <w:lang w:val="en-US" w:eastAsia="zh-CN"/>
              </w:rPr>
              <w:t>/</w:t>
            </w:r>
            <w:r>
              <w:rPr>
                <w:rFonts w:hint="eastAsia"/>
              </w:rPr>
              <w:t>0.5</w:t>
            </w:r>
          </w:p>
        </w:tc>
        <w:tc>
          <w:tcPr>
            <w:tcW w:w="1524" w:type="dxa"/>
            <w:vAlign w:val="center"/>
          </w:tcPr>
          <w:p>
            <w:pPr>
              <w:jc w:val="center"/>
            </w:pPr>
            <w:r>
              <w:rPr>
                <w:rFonts w:hint="eastAsia"/>
              </w:rPr>
              <w:t>管程：氯化石</w:t>
            </w:r>
          </w:p>
          <w:p>
            <w:pPr>
              <w:jc w:val="center"/>
            </w:pPr>
            <w:r>
              <w:rPr>
                <w:rFonts w:hint="eastAsia"/>
              </w:rPr>
              <w:t>蜡、HCL、氯</w:t>
            </w:r>
          </w:p>
          <w:p>
            <w:pPr>
              <w:jc w:val="center"/>
            </w:pPr>
            <w:r>
              <w:rPr>
                <w:rFonts w:hint="eastAsia"/>
              </w:rPr>
              <w:t>气、氮气</w:t>
            </w:r>
          </w:p>
          <w:p>
            <w:pPr>
              <w:jc w:val="center"/>
            </w:pPr>
            <w:r>
              <w:rPr>
                <w:rFonts w:hint="eastAsia"/>
              </w:rPr>
              <w:t>壳程：冷冻水</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38</w:t>
            </w:r>
          </w:p>
        </w:tc>
        <w:tc>
          <w:tcPr>
            <w:tcW w:w="1404" w:type="dxa"/>
            <w:vAlign w:val="center"/>
          </w:tcPr>
          <w:p>
            <w:pPr>
              <w:jc w:val="center"/>
            </w:pPr>
            <w:r>
              <w:rPr>
                <w:rFonts w:hint="eastAsia"/>
              </w:rPr>
              <w:t>精制降膜吸收器</w:t>
            </w:r>
          </w:p>
        </w:tc>
        <w:tc>
          <w:tcPr>
            <w:tcW w:w="1086" w:type="dxa"/>
            <w:vAlign w:val="center"/>
          </w:tcPr>
          <w:p>
            <w:pPr>
              <w:jc w:val="center"/>
            </w:pPr>
            <w:r>
              <w:rPr>
                <w:rFonts w:hint="eastAsia"/>
              </w:rPr>
              <w:t>碳钢＋石</w:t>
            </w:r>
          </w:p>
          <w:p>
            <w:pPr>
              <w:jc w:val="center"/>
            </w:pPr>
            <w:r>
              <w:rPr>
                <w:rFonts w:hint="eastAsia"/>
              </w:rPr>
              <w:t>墨</w:t>
            </w:r>
          </w:p>
        </w:tc>
        <w:tc>
          <w:tcPr>
            <w:tcW w:w="1028" w:type="dxa"/>
            <w:vAlign w:val="center"/>
          </w:tcPr>
          <w:p>
            <w:pPr>
              <w:jc w:val="center"/>
            </w:pPr>
            <w:r>
              <w:rPr>
                <w:rFonts w:hint="eastAsia"/>
              </w:rPr>
              <w:t>2</w:t>
            </w:r>
          </w:p>
        </w:tc>
        <w:tc>
          <w:tcPr>
            <w:tcW w:w="1819" w:type="dxa"/>
            <w:vAlign w:val="center"/>
          </w:tcPr>
          <w:p>
            <w:pPr>
              <w:jc w:val="center"/>
            </w:pPr>
            <w:r>
              <w:rPr>
                <w:rFonts w:hint="eastAsia"/>
              </w:rPr>
              <w:t>挂耳立式：</w:t>
            </w:r>
          </w:p>
          <w:p>
            <w:pPr>
              <w:jc w:val="center"/>
            </w:pPr>
            <w:r>
              <w:rPr>
                <w:rFonts w:hint="eastAsia"/>
              </w:rPr>
              <w:t>F=65m</w:t>
            </w:r>
            <w:r>
              <w:rPr>
                <w:rFonts w:hint="eastAsia"/>
                <w:vertAlign w:val="superscript"/>
              </w:rPr>
              <w:t>2</w:t>
            </w:r>
          </w:p>
        </w:tc>
        <w:tc>
          <w:tcPr>
            <w:tcW w:w="1594" w:type="dxa"/>
            <w:vAlign w:val="center"/>
          </w:tcPr>
          <w:p>
            <w:r>
              <w:rPr>
                <w:rFonts w:hint="eastAsia"/>
              </w:rPr>
              <w:t>管程：80/140</w:t>
            </w:r>
          </w:p>
          <w:p>
            <w:r>
              <w:rPr>
                <w:rFonts w:hint="eastAsia"/>
              </w:rPr>
              <w:t>壳程：25/50</w:t>
            </w:r>
          </w:p>
        </w:tc>
        <w:tc>
          <w:tcPr>
            <w:tcW w:w="1949" w:type="dxa"/>
            <w:vAlign w:val="center"/>
          </w:tcPr>
          <w:p>
            <w:pPr>
              <w:jc w:val="center"/>
            </w:pPr>
            <w:r>
              <w:rPr>
                <w:rFonts w:hint="eastAsia"/>
              </w:rPr>
              <w:t>管程：0.06～</w:t>
            </w:r>
          </w:p>
          <w:p>
            <w:pPr>
              <w:jc w:val="center"/>
            </w:pPr>
            <w:r>
              <w:rPr>
                <w:rFonts w:hint="eastAsia"/>
              </w:rPr>
              <w:t>0.08/0.1</w:t>
            </w:r>
          </w:p>
          <w:p>
            <w:pPr>
              <w:jc w:val="center"/>
            </w:pPr>
            <w:r>
              <w:rPr>
                <w:rFonts w:hint="eastAsia"/>
              </w:rPr>
              <w:t>壳程：0.4</w:t>
            </w:r>
            <w:r>
              <w:rPr>
                <w:rFonts w:hint="eastAsia"/>
                <w:lang w:val="en-US" w:eastAsia="zh-CN"/>
              </w:rPr>
              <w:t>/</w:t>
            </w:r>
            <w:r>
              <w:rPr>
                <w:rFonts w:hint="eastAsia"/>
              </w:rPr>
              <w:t>0.5</w:t>
            </w:r>
          </w:p>
        </w:tc>
        <w:tc>
          <w:tcPr>
            <w:tcW w:w="1524" w:type="dxa"/>
            <w:vAlign w:val="center"/>
          </w:tcPr>
          <w:p>
            <w:pPr>
              <w:jc w:val="center"/>
            </w:pPr>
            <w:r>
              <w:rPr>
                <w:rFonts w:hint="eastAsia"/>
              </w:rPr>
              <w:t>管程：HCL、氯气</w:t>
            </w:r>
          </w:p>
          <w:p>
            <w:pPr>
              <w:jc w:val="center"/>
            </w:pPr>
            <w:r>
              <w:rPr>
                <w:rFonts w:hint="eastAsia"/>
              </w:rPr>
              <w:t>壳程：循环水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39</w:t>
            </w:r>
          </w:p>
        </w:tc>
        <w:tc>
          <w:tcPr>
            <w:tcW w:w="1404" w:type="dxa"/>
            <w:vAlign w:val="center"/>
          </w:tcPr>
          <w:p>
            <w:pPr>
              <w:jc w:val="center"/>
            </w:pPr>
            <w:r>
              <w:rPr>
                <w:rFonts w:hint="eastAsia"/>
              </w:rPr>
              <w:t>一级降膜吸收器</w:t>
            </w:r>
          </w:p>
        </w:tc>
        <w:tc>
          <w:tcPr>
            <w:tcW w:w="1086" w:type="dxa"/>
            <w:vAlign w:val="center"/>
          </w:tcPr>
          <w:p>
            <w:pPr>
              <w:jc w:val="center"/>
            </w:pPr>
            <w:r>
              <w:rPr>
                <w:rFonts w:hint="eastAsia"/>
              </w:rPr>
              <w:t>碳钢＋石</w:t>
            </w:r>
          </w:p>
          <w:p>
            <w:pPr>
              <w:jc w:val="center"/>
            </w:pPr>
            <w:r>
              <w:rPr>
                <w:rFonts w:hint="eastAsia"/>
              </w:rPr>
              <w:t>墨</w:t>
            </w:r>
          </w:p>
        </w:tc>
        <w:tc>
          <w:tcPr>
            <w:tcW w:w="1028" w:type="dxa"/>
            <w:vAlign w:val="center"/>
          </w:tcPr>
          <w:p>
            <w:pPr>
              <w:jc w:val="center"/>
            </w:pPr>
            <w:r>
              <w:rPr>
                <w:rFonts w:hint="eastAsia"/>
              </w:rPr>
              <w:t>2</w:t>
            </w:r>
          </w:p>
        </w:tc>
        <w:tc>
          <w:tcPr>
            <w:tcW w:w="1819" w:type="dxa"/>
            <w:vAlign w:val="center"/>
          </w:tcPr>
          <w:p>
            <w:pPr>
              <w:jc w:val="center"/>
            </w:pPr>
            <w:r>
              <w:rPr>
                <w:rFonts w:hint="eastAsia"/>
              </w:rPr>
              <w:t>挂耳立式：</w:t>
            </w:r>
          </w:p>
          <w:p>
            <w:pPr>
              <w:jc w:val="center"/>
            </w:pPr>
            <w:r>
              <w:rPr>
                <w:rFonts w:hint="eastAsia"/>
              </w:rPr>
              <w:t>F=100m</w:t>
            </w:r>
            <w:r>
              <w:rPr>
                <w:rFonts w:hint="eastAsia"/>
                <w:vertAlign w:val="superscript"/>
              </w:rPr>
              <w:t>2</w:t>
            </w:r>
          </w:p>
        </w:tc>
        <w:tc>
          <w:tcPr>
            <w:tcW w:w="1594" w:type="dxa"/>
            <w:vAlign w:val="center"/>
          </w:tcPr>
          <w:p>
            <w:r>
              <w:rPr>
                <w:rFonts w:hint="eastAsia"/>
              </w:rPr>
              <w:t>管程：80/140</w:t>
            </w:r>
          </w:p>
          <w:p>
            <w:pPr>
              <w:jc w:val="center"/>
            </w:pPr>
            <w:r>
              <w:rPr>
                <w:rFonts w:hint="eastAsia"/>
              </w:rPr>
              <w:t>壳程：25/50</w:t>
            </w:r>
          </w:p>
        </w:tc>
        <w:tc>
          <w:tcPr>
            <w:tcW w:w="1949" w:type="dxa"/>
            <w:vAlign w:val="center"/>
          </w:tcPr>
          <w:p>
            <w:pPr>
              <w:jc w:val="center"/>
            </w:pPr>
            <w:r>
              <w:rPr>
                <w:rFonts w:hint="eastAsia"/>
              </w:rPr>
              <w:t>管程：0.06～</w:t>
            </w:r>
          </w:p>
          <w:p>
            <w:pPr>
              <w:jc w:val="center"/>
            </w:pPr>
            <w:r>
              <w:rPr>
                <w:rFonts w:hint="eastAsia"/>
              </w:rPr>
              <w:t>0.08/0.1</w:t>
            </w:r>
          </w:p>
          <w:p>
            <w:pPr>
              <w:jc w:val="center"/>
            </w:pPr>
            <w:r>
              <w:rPr>
                <w:rFonts w:hint="eastAsia"/>
              </w:rPr>
              <w:t>壳程：0.4</w:t>
            </w:r>
            <w:r>
              <w:rPr>
                <w:rFonts w:hint="eastAsia"/>
                <w:lang w:val="en-US" w:eastAsia="zh-CN"/>
              </w:rPr>
              <w:t>/</w:t>
            </w:r>
            <w:r>
              <w:rPr>
                <w:rFonts w:hint="eastAsia"/>
              </w:rPr>
              <w:t>0.5</w:t>
            </w:r>
          </w:p>
        </w:tc>
        <w:tc>
          <w:tcPr>
            <w:tcW w:w="1524" w:type="dxa"/>
            <w:vAlign w:val="center"/>
          </w:tcPr>
          <w:p>
            <w:pPr>
              <w:jc w:val="center"/>
            </w:pPr>
            <w:r>
              <w:rPr>
                <w:rFonts w:hint="eastAsia"/>
              </w:rPr>
              <w:t>管程：HCL、氯气</w:t>
            </w:r>
          </w:p>
          <w:p>
            <w:pPr>
              <w:jc w:val="center"/>
            </w:pPr>
            <w:r>
              <w:rPr>
                <w:rFonts w:hint="eastAsia"/>
              </w:rPr>
              <w:t>壳程：循环水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40</w:t>
            </w:r>
          </w:p>
        </w:tc>
        <w:tc>
          <w:tcPr>
            <w:tcW w:w="1404" w:type="dxa"/>
            <w:vAlign w:val="center"/>
          </w:tcPr>
          <w:p>
            <w:pPr>
              <w:jc w:val="center"/>
            </w:pPr>
            <w:r>
              <w:rPr>
                <w:rFonts w:hint="eastAsia"/>
              </w:rPr>
              <w:t>二级降膜吸收器</w:t>
            </w:r>
          </w:p>
        </w:tc>
        <w:tc>
          <w:tcPr>
            <w:tcW w:w="1086" w:type="dxa"/>
            <w:vAlign w:val="center"/>
          </w:tcPr>
          <w:p>
            <w:pPr>
              <w:jc w:val="center"/>
            </w:pPr>
            <w:r>
              <w:rPr>
                <w:rFonts w:hint="eastAsia"/>
              </w:rPr>
              <w:t>碳钢＋石</w:t>
            </w:r>
          </w:p>
          <w:p>
            <w:pPr>
              <w:jc w:val="center"/>
            </w:pPr>
            <w:r>
              <w:rPr>
                <w:rFonts w:hint="eastAsia"/>
              </w:rPr>
              <w:t>墨</w:t>
            </w:r>
          </w:p>
        </w:tc>
        <w:tc>
          <w:tcPr>
            <w:tcW w:w="1028" w:type="dxa"/>
            <w:vAlign w:val="center"/>
          </w:tcPr>
          <w:p>
            <w:pPr>
              <w:jc w:val="center"/>
            </w:pPr>
            <w:r>
              <w:rPr>
                <w:rFonts w:hint="eastAsia"/>
              </w:rPr>
              <w:t>2</w:t>
            </w:r>
          </w:p>
        </w:tc>
        <w:tc>
          <w:tcPr>
            <w:tcW w:w="1819" w:type="dxa"/>
            <w:vAlign w:val="center"/>
          </w:tcPr>
          <w:p>
            <w:pPr>
              <w:jc w:val="center"/>
            </w:pPr>
            <w:r>
              <w:rPr>
                <w:rFonts w:hint="eastAsia"/>
              </w:rPr>
              <w:t>挂耳立式：</w:t>
            </w:r>
          </w:p>
          <w:p>
            <w:pPr>
              <w:jc w:val="center"/>
            </w:pPr>
            <w:r>
              <w:rPr>
                <w:rFonts w:hint="eastAsia"/>
              </w:rPr>
              <w:t>F=60m</w:t>
            </w:r>
            <w:r>
              <w:rPr>
                <w:rFonts w:hint="eastAsia"/>
                <w:vertAlign w:val="superscript"/>
              </w:rPr>
              <w:t>2</w:t>
            </w:r>
          </w:p>
        </w:tc>
        <w:tc>
          <w:tcPr>
            <w:tcW w:w="1594" w:type="dxa"/>
            <w:vAlign w:val="center"/>
          </w:tcPr>
          <w:p>
            <w:r>
              <w:rPr>
                <w:rFonts w:hint="eastAsia"/>
              </w:rPr>
              <w:t>管程：80/140</w:t>
            </w:r>
          </w:p>
          <w:p>
            <w:pPr>
              <w:jc w:val="center"/>
            </w:pPr>
            <w:r>
              <w:rPr>
                <w:rFonts w:hint="eastAsia"/>
              </w:rPr>
              <w:t>壳程：25/50</w:t>
            </w:r>
          </w:p>
        </w:tc>
        <w:tc>
          <w:tcPr>
            <w:tcW w:w="1949" w:type="dxa"/>
            <w:vAlign w:val="center"/>
          </w:tcPr>
          <w:p>
            <w:pPr>
              <w:jc w:val="center"/>
            </w:pPr>
            <w:r>
              <w:rPr>
                <w:rFonts w:hint="eastAsia"/>
              </w:rPr>
              <w:t>管程：0.06～</w:t>
            </w:r>
          </w:p>
          <w:p>
            <w:pPr>
              <w:jc w:val="center"/>
            </w:pPr>
            <w:r>
              <w:rPr>
                <w:rFonts w:hint="eastAsia"/>
              </w:rPr>
              <w:t>0.08/0.1</w:t>
            </w:r>
          </w:p>
          <w:p>
            <w:pPr>
              <w:jc w:val="center"/>
            </w:pPr>
            <w:r>
              <w:rPr>
                <w:rFonts w:hint="eastAsia"/>
              </w:rPr>
              <w:t>壳程：0.4</w:t>
            </w:r>
            <w:r>
              <w:rPr>
                <w:rFonts w:hint="eastAsia"/>
                <w:lang w:val="en-US" w:eastAsia="zh-CN"/>
              </w:rPr>
              <w:t>/</w:t>
            </w:r>
            <w:r>
              <w:rPr>
                <w:rFonts w:hint="eastAsia"/>
              </w:rPr>
              <w:t>0.5</w:t>
            </w:r>
          </w:p>
        </w:tc>
        <w:tc>
          <w:tcPr>
            <w:tcW w:w="1524" w:type="dxa"/>
            <w:vAlign w:val="center"/>
          </w:tcPr>
          <w:p>
            <w:pPr>
              <w:jc w:val="center"/>
            </w:pPr>
            <w:r>
              <w:rPr>
                <w:rFonts w:hint="eastAsia"/>
              </w:rPr>
              <w:t>管程：HCL、氯气</w:t>
            </w:r>
          </w:p>
          <w:p>
            <w:pPr>
              <w:jc w:val="center"/>
            </w:pPr>
            <w:r>
              <w:rPr>
                <w:rFonts w:hint="eastAsia"/>
              </w:rPr>
              <w:t>壳程：循环水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6" w:type="dxa"/>
            <w:gridSpan w:val="11"/>
            <w:vAlign w:val="bottom"/>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724" w:type="dxa"/>
            <w:vAlign w:val="center"/>
          </w:tcPr>
          <w:p>
            <w:pPr>
              <w:jc w:val="center"/>
            </w:pPr>
            <w:r>
              <w:rPr>
                <w:rFonts w:hint="eastAsia"/>
              </w:rPr>
              <w:t>41</w:t>
            </w:r>
          </w:p>
        </w:tc>
        <w:tc>
          <w:tcPr>
            <w:tcW w:w="1404" w:type="dxa"/>
            <w:vAlign w:val="center"/>
          </w:tcPr>
          <w:p>
            <w:pPr>
              <w:jc w:val="center"/>
            </w:pPr>
            <w:r>
              <w:rPr>
                <w:rFonts w:hint="eastAsia"/>
              </w:rPr>
              <w:t>氯化供料泵</w:t>
            </w:r>
          </w:p>
        </w:tc>
        <w:tc>
          <w:tcPr>
            <w:tcW w:w="1086" w:type="dxa"/>
            <w:vAlign w:val="center"/>
          </w:tcPr>
          <w:p>
            <w:pPr>
              <w:jc w:val="center"/>
            </w:pPr>
            <w:r>
              <w:rPr>
                <w:rFonts w:hint="eastAsia"/>
              </w:rPr>
              <w:t>CS+PTFE</w:t>
            </w:r>
          </w:p>
        </w:tc>
        <w:tc>
          <w:tcPr>
            <w:tcW w:w="1028" w:type="dxa"/>
            <w:vAlign w:val="center"/>
          </w:tcPr>
          <w:p>
            <w:pPr>
              <w:jc w:val="center"/>
            </w:pPr>
            <w:r>
              <w:rPr>
                <w:rFonts w:hint="eastAsia"/>
              </w:rPr>
              <w:t>16</w:t>
            </w:r>
          </w:p>
        </w:tc>
        <w:tc>
          <w:tcPr>
            <w:tcW w:w="1819" w:type="dxa"/>
            <w:vAlign w:val="center"/>
          </w:tcPr>
          <w:p>
            <w:pPr>
              <w:jc w:val="center"/>
            </w:pPr>
            <w:r>
              <w:rPr>
                <w:rFonts w:hint="eastAsia"/>
              </w:rPr>
              <w:t>Q=6.3m</w:t>
            </w:r>
            <w:r>
              <w:rPr>
                <w:rFonts w:hint="eastAsia"/>
                <w:vertAlign w:val="superscript"/>
              </w:rPr>
              <w:t>3</w:t>
            </w:r>
            <w:r>
              <w:rPr>
                <w:rFonts w:hint="eastAsia"/>
              </w:rPr>
              <w:t>/h,</w:t>
            </w:r>
          </w:p>
          <w:p>
            <w:pPr>
              <w:jc w:val="center"/>
            </w:pPr>
            <w:r>
              <w:rPr>
                <w:rFonts w:hint="eastAsia"/>
              </w:rPr>
              <w:t>H=20m;</w:t>
            </w:r>
          </w:p>
          <w:p>
            <w:pPr>
              <w:jc w:val="center"/>
            </w:pPr>
            <w:r>
              <w:rPr>
                <w:rFonts w:hint="eastAsia"/>
              </w:rPr>
              <w:t>P＝3kW，变频</w:t>
            </w:r>
          </w:p>
        </w:tc>
        <w:tc>
          <w:tcPr>
            <w:tcW w:w="1594" w:type="dxa"/>
            <w:vAlign w:val="center"/>
          </w:tcPr>
          <w:p>
            <w:pPr>
              <w:jc w:val="center"/>
            </w:pPr>
            <w:r>
              <w:rPr>
                <w:rFonts w:hint="eastAsia"/>
              </w:rPr>
              <w:t>60~100/150</w:t>
            </w:r>
          </w:p>
        </w:tc>
        <w:tc>
          <w:tcPr>
            <w:tcW w:w="1949" w:type="dxa"/>
            <w:vAlign w:val="center"/>
          </w:tcPr>
          <w:p>
            <w:pPr>
              <w:jc w:val="center"/>
            </w:pPr>
            <w:r>
              <w:rPr>
                <w:rFonts w:hint="eastAsia"/>
              </w:rPr>
              <w:t>0.3/0.5</w:t>
            </w:r>
          </w:p>
        </w:tc>
        <w:tc>
          <w:tcPr>
            <w:tcW w:w="1524" w:type="dxa"/>
            <w:vAlign w:val="center"/>
          </w:tcPr>
          <w:p>
            <w:pPr>
              <w:jc w:val="center"/>
            </w:pPr>
            <w:r>
              <w:rPr>
                <w:rFonts w:hint="eastAsia"/>
              </w:rPr>
              <w:t>液蜡</w:t>
            </w:r>
          </w:p>
        </w:tc>
        <w:tc>
          <w:tcPr>
            <w:tcW w:w="944" w:type="dxa"/>
            <w:vAlign w:val="center"/>
          </w:tcPr>
          <w:p>
            <w:pPr>
              <w:jc w:val="center"/>
            </w:pPr>
            <w:r>
              <w:rPr>
                <w:rFonts w:hint="eastAsia"/>
              </w:rPr>
              <w:t>新购</w:t>
            </w:r>
          </w:p>
        </w:tc>
        <w:tc>
          <w:tcPr>
            <w:tcW w:w="1131" w:type="dxa"/>
            <w:vAlign w:val="center"/>
          </w:tcPr>
          <w:p>
            <w:pPr>
              <w:jc w:val="center"/>
            </w:pPr>
            <w:r>
              <w:rPr>
                <w:rFonts w:hint="eastAsia"/>
              </w:rPr>
              <w:t>16</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42</w:t>
            </w:r>
          </w:p>
        </w:tc>
        <w:tc>
          <w:tcPr>
            <w:tcW w:w="1404" w:type="dxa"/>
            <w:vAlign w:val="center"/>
          </w:tcPr>
          <w:p>
            <w:pPr>
              <w:jc w:val="center"/>
            </w:pPr>
            <w:r>
              <w:rPr>
                <w:rFonts w:hint="eastAsia"/>
              </w:rPr>
              <w:t>氯化石蜡出料泵</w:t>
            </w:r>
          </w:p>
        </w:tc>
        <w:tc>
          <w:tcPr>
            <w:tcW w:w="1086" w:type="dxa"/>
            <w:vAlign w:val="center"/>
          </w:tcPr>
          <w:p>
            <w:pPr>
              <w:jc w:val="center"/>
            </w:pPr>
            <w:r>
              <w:rPr>
                <w:rFonts w:hint="eastAsia"/>
              </w:rPr>
              <w:t>钢衬超</w:t>
            </w:r>
          </w:p>
          <w:p>
            <w:pPr>
              <w:jc w:val="center"/>
            </w:pPr>
            <w:r>
              <w:rPr>
                <w:rFonts w:hint="eastAsia"/>
              </w:rPr>
              <w:t>高分子量聚乙烯</w:t>
            </w:r>
          </w:p>
        </w:tc>
        <w:tc>
          <w:tcPr>
            <w:tcW w:w="1028" w:type="dxa"/>
            <w:vAlign w:val="center"/>
          </w:tcPr>
          <w:p>
            <w:pPr>
              <w:jc w:val="center"/>
            </w:pPr>
            <w:r>
              <w:rPr>
                <w:rFonts w:hint="eastAsia"/>
              </w:rPr>
              <w:t>16</w:t>
            </w:r>
          </w:p>
        </w:tc>
        <w:tc>
          <w:tcPr>
            <w:tcW w:w="1819" w:type="dxa"/>
            <w:vAlign w:val="center"/>
          </w:tcPr>
          <w:p>
            <w:pPr>
              <w:jc w:val="center"/>
            </w:pPr>
            <w:r>
              <w:rPr>
                <w:rFonts w:hint="eastAsia"/>
              </w:rPr>
              <w:t>Q=12m</w:t>
            </w:r>
            <w:r>
              <w:rPr>
                <w:rFonts w:hint="eastAsia"/>
                <w:vertAlign w:val="superscript"/>
              </w:rPr>
              <w:t>3</w:t>
            </w:r>
            <w:r>
              <w:rPr>
                <w:rFonts w:hint="eastAsia"/>
              </w:rPr>
              <w:t>/h,</w:t>
            </w:r>
          </w:p>
          <w:p>
            <w:pPr>
              <w:jc w:val="center"/>
            </w:pPr>
            <w:r>
              <w:rPr>
                <w:rFonts w:hint="eastAsia"/>
              </w:rPr>
              <w:t>H=22m;</w:t>
            </w:r>
          </w:p>
          <w:p>
            <w:pPr>
              <w:jc w:val="center"/>
            </w:pPr>
            <w:r>
              <w:rPr>
                <w:rFonts w:hint="eastAsia"/>
              </w:rPr>
              <w:t>P＝4kW，变频</w:t>
            </w:r>
          </w:p>
        </w:tc>
        <w:tc>
          <w:tcPr>
            <w:tcW w:w="1594" w:type="dxa"/>
            <w:vAlign w:val="center"/>
          </w:tcPr>
          <w:p>
            <w:pPr>
              <w:jc w:val="center"/>
            </w:pPr>
            <w:r>
              <w:rPr>
                <w:rFonts w:hint="eastAsia"/>
              </w:rPr>
              <w:t>60~100/150</w:t>
            </w:r>
          </w:p>
        </w:tc>
        <w:tc>
          <w:tcPr>
            <w:tcW w:w="1949" w:type="dxa"/>
            <w:vAlign w:val="center"/>
          </w:tcPr>
          <w:p>
            <w:pPr>
              <w:jc w:val="center"/>
            </w:pPr>
            <w:r>
              <w:rPr>
                <w:rFonts w:hint="eastAsia"/>
              </w:rPr>
              <w:t>0.3/0.5</w:t>
            </w:r>
          </w:p>
        </w:tc>
        <w:tc>
          <w:tcPr>
            <w:tcW w:w="1524" w:type="dxa"/>
            <w:vAlign w:val="center"/>
          </w:tcPr>
          <w:p>
            <w:pPr>
              <w:jc w:val="center"/>
            </w:pPr>
            <w:r>
              <w:rPr>
                <w:rFonts w:hint="eastAsia"/>
              </w:rPr>
              <w:t>氯化石蜡</w:t>
            </w:r>
          </w:p>
        </w:tc>
        <w:tc>
          <w:tcPr>
            <w:tcW w:w="944" w:type="dxa"/>
            <w:vAlign w:val="center"/>
          </w:tcPr>
          <w:p>
            <w:pPr>
              <w:jc w:val="center"/>
            </w:pPr>
            <w:r>
              <w:rPr>
                <w:rFonts w:hint="eastAsia"/>
              </w:rPr>
              <w:t>新购</w:t>
            </w:r>
          </w:p>
        </w:tc>
        <w:tc>
          <w:tcPr>
            <w:tcW w:w="1131" w:type="dxa"/>
            <w:vAlign w:val="center"/>
          </w:tcPr>
          <w:p>
            <w:pPr>
              <w:jc w:val="center"/>
            </w:pPr>
            <w:r>
              <w:rPr>
                <w:rFonts w:hint="eastAsia"/>
              </w:rPr>
              <w:t>16</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43</w:t>
            </w:r>
          </w:p>
        </w:tc>
        <w:tc>
          <w:tcPr>
            <w:tcW w:w="1404" w:type="dxa"/>
            <w:vAlign w:val="center"/>
          </w:tcPr>
          <w:p>
            <w:pPr>
              <w:jc w:val="center"/>
            </w:pPr>
            <w:r>
              <w:rPr>
                <w:rFonts w:hint="eastAsia"/>
              </w:rPr>
              <w:t>氯化石蜡出料泵</w:t>
            </w:r>
          </w:p>
        </w:tc>
        <w:tc>
          <w:tcPr>
            <w:tcW w:w="1086" w:type="dxa"/>
            <w:vAlign w:val="center"/>
          </w:tcPr>
          <w:p>
            <w:pPr>
              <w:jc w:val="center"/>
            </w:pPr>
            <w:r>
              <w:rPr>
                <w:rFonts w:hint="eastAsia"/>
              </w:rPr>
              <w:t>钢衬超</w:t>
            </w:r>
          </w:p>
          <w:p>
            <w:pPr>
              <w:jc w:val="center"/>
            </w:pPr>
            <w:r>
              <w:rPr>
                <w:rFonts w:hint="eastAsia"/>
              </w:rPr>
              <w:t>高分子量聚乙烯</w:t>
            </w:r>
          </w:p>
        </w:tc>
        <w:tc>
          <w:tcPr>
            <w:tcW w:w="1028" w:type="dxa"/>
            <w:vAlign w:val="center"/>
          </w:tcPr>
          <w:p>
            <w:pPr>
              <w:jc w:val="center"/>
            </w:pPr>
            <w:r>
              <w:rPr>
                <w:rFonts w:hint="eastAsia"/>
              </w:rPr>
              <w:t>16</w:t>
            </w:r>
          </w:p>
        </w:tc>
        <w:tc>
          <w:tcPr>
            <w:tcW w:w="1819" w:type="dxa"/>
            <w:vAlign w:val="center"/>
          </w:tcPr>
          <w:p>
            <w:pPr>
              <w:jc w:val="center"/>
            </w:pPr>
            <w:r>
              <w:rPr>
                <w:rFonts w:hint="eastAsia"/>
              </w:rPr>
              <w:t>Q=35m</w:t>
            </w:r>
            <w:r>
              <w:rPr>
                <w:rFonts w:hint="eastAsia"/>
                <w:vertAlign w:val="superscript"/>
              </w:rPr>
              <w:t>3</w:t>
            </w:r>
            <w:r>
              <w:rPr>
                <w:rFonts w:hint="eastAsia"/>
              </w:rPr>
              <w:t>/h,</w:t>
            </w:r>
          </w:p>
          <w:p>
            <w:pPr>
              <w:jc w:val="center"/>
            </w:pPr>
            <w:r>
              <w:rPr>
                <w:rFonts w:hint="eastAsia"/>
              </w:rPr>
              <w:t>H=50m;</w:t>
            </w:r>
          </w:p>
          <w:p>
            <w:pPr>
              <w:jc w:val="center"/>
            </w:pPr>
            <w:r>
              <w:rPr>
                <w:rFonts w:hint="eastAsia"/>
              </w:rPr>
              <w:t>P＝15kW，变频</w:t>
            </w:r>
          </w:p>
        </w:tc>
        <w:tc>
          <w:tcPr>
            <w:tcW w:w="1594" w:type="dxa"/>
            <w:vAlign w:val="center"/>
          </w:tcPr>
          <w:p>
            <w:pPr>
              <w:jc w:val="center"/>
            </w:pPr>
            <w:r>
              <w:rPr>
                <w:rFonts w:hint="eastAsia"/>
              </w:rPr>
              <w:t>60~100/150</w:t>
            </w:r>
          </w:p>
        </w:tc>
        <w:tc>
          <w:tcPr>
            <w:tcW w:w="1949" w:type="dxa"/>
            <w:vAlign w:val="center"/>
          </w:tcPr>
          <w:p>
            <w:pPr>
              <w:jc w:val="center"/>
            </w:pPr>
            <w:r>
              <w:rPr>
                <w:rFonts w:hint="eastAsia"/>
              </w:rPr>
              <w:t>0.3/0.5</w:t>
            </w:r>
          </w:p>
        </w:tc>
        <w:tc>
          <w:tcPr>
            <w:tcW w:w="1524" w:type="dxa"/>
            <w:vAlign w:val="center"/>
          </w:tcPr>
          <w:p>
            <w:pPr>
              <w:jc w:val="center"/>
            </w:pPr>
            <w:r>
              <w:rPr>
                <w:rFonts w:hint="eastAsia"/>
              </w:rPr>
              <w:t>氯化石蜡</w:t>
            </w:r>
          </w:p>
        </w:tc>
        <w:tc>
          <w:tcPr>
            <w:tcW w:w="944" w:type="dxa"/>
            <w:vAlign w:val="center"/>
          </w:tcPr>
          <w:p>
            <w:pPr>
              <w:jc w:val="center"/>
            </w:pPr>
            <w:r>
              <w:rPr>
                <w:rFonts w:hint="eastAsia"/>
              </w:rPr>
              <w:t>新购</w:t>
            </w:r>
          </w:p>
        </w:tc>
        <w:tc>
          <w:tcPr>
            <w:tcW w:w="1131" w:type="dxa"/>
            <w:vAlign w:val="center"/>
          </w:tcPr>
          <w:p>
            <w:pPr>
              <w:jc w:val="center"/>
            </w:pPr>
            <w:r>
              <w:rPr>
                <w:rFonts w:hint="eastAsia"/>
              </w:rPr>
              <w:t>16</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44</w:t>
            </w:r>
          </w:p>
        </w:tc>
        <w:tc>
          <w:tcPr>
            <w:tcW w:w="1404" w:type="dxa"/>
            <w:vAlign w:val="center"/>
          </w:tcPr>
          <w:p>
            <w:pPr>
              <w:jc w:val="center"/>
            </w:pPr>
            <w:r>
              <w:rPr>
                <w:rFonts w:hint="eastAsia"/>
              </w:rPr>
              <w:t>精制盐酸泵</w:t>
            </w:r>
          </w:p>
        </w:tc>
        <w:tc>
          <w:tcPr>
            <w:tcW w:w="1086" w:type="dxa"/>
            <w:vAlign w:val="center"/>
          </w:tcPr>
          <w:p>
            <w:pPr>
              <w:jc w:val="center"/>
            </w:pPr>
            <w:r>
              <w:rPr>
                <w:rFonts w:hint="eastAsia"/>
              </w:rPr>
              <w:t>CS+PTFE</w:t>
            </w:r>
          </w:p>
        </w:tc>
        <w:tc>
          <w:tcPr>
            <w:tcW w:w="1028" w:type="dxa"/>
            <w:vAlign w:val="center"/>
          </w:tcPr>
          <w:p>
            <w:pPr>
              <w:jc w:val="center"/>
            </w:pPr>
            <w:r>
              <w:rPr>
                <w:rFonts w:hint="eastAsia"/>
              </w:rPr>
              <w:t>4</w:t>
            </w:r>
          </w:p>
        </w:tc>
        <w:tc>
          <w:tcPr>
            <w:tcW w:w="1819" w:type="dxa"/>
            <w:vAlign w:val="center"/>
          </w:tcPr>
          <w:p>
            <w:pPr>
              <w:jc w:val="center"/>
            </w:pPr>
            <w:r>
              <w:rPr>
                <w:rFonts w:hint="eastAsia"/>
              </w:rPr>
              <w:t>Q=50m</w:t>
            </w:r>
            <w:r>
              <w:rPr>
                <w:rFonts w:hint="eastAsia"/>
                <w:vertAlign w:val="superscript"/>
              </w:rPr>
              <w:t>3</w:t>
            </w:r>
            <w:r>
              <w:rPr>
                <w:rFonts w:hint="eastAsia"/>
              </w:rPr>
              <w:t>/h,</w:t>
            </w:r>
          </w:p>
          <w:p>
            <w:pPr>
              <w:jc w:val="center"/>
            </w:pPr>
            <w:r>
              <w:rPr>
                <w:rFonts w:hint="eastAsia"/>
              </w:rPr>
              <w:t>H=32m:</w:t>
            </w:r>
          </w:p>
          <w:p>
            <w:pPr>
              <w:jc w:val="center"/>
            </w:pPr>
            <w:r>
              <w:rPr>
                <w:rFonts w:hint="eastAsia"/>
              </w:rPr>
              <w:t>P＝15kW，变频</w:t>
            </w:r>
          </w:p>
        </w:tc>
        <w:tc>
          <w:tcPr>
            <w:tcW w:w="1594" w:type="dxa"/>
            <w:vAlign w:val="center"/>
          </w:tcPr>
          <w:p>
            <w:pPr>
              <w:jc w:val="center"/>
            </w:pPr>
            <w:r>
              <w:rPr>
                <w:rFonts w:hint="eastAsia"/>
              </w:rPr>
              <w:t>50/100</w:t>
            </w:r>
          </w:p>
        </w:tc>
        <w:tc>
          <w:tcPr>
            <w:tcW w:w="1949" w:type="dxa"/>
            <w:vAlign w:val="center"/>
          </w:tcPr>
          <w:p>
            <w:pPr>
              <w:jc w:val="center"/>
            </w:pPr>
            <w:r>
              <w:rPr>
                <w:rFonts w:hint="eastAsia"/>
              </w:rPr>
              <w:t>0.3/0.5</w:t>
            </w:r>
          </w:p>
        </w:tc>
        <w:tc>
          <w:tcPr>
            <w:tcW w:w="1524" w:type="dxa"/>
            <w:vAlign w:val="center"/>
          </w:tcPr>
          <w:p>
            <w:pPr>
              <w:jc w:val="center"/>
            </w:pPr>
            <w:r>
              <w:rPr>
                <w:rFonts w:hint="eastAsia"/>
              </w:rPr>
              <w:t>盐酸</w:t>
            </w:r>
          </w:p>
        </w:tc>
        <w:tc>
          <w:tcPr>
            <w:tcW w:w="944" w:type="dxa"/>
            <w:vAlign w:val="center"/>
          </w:tcPr>
          <w:p>
            <w:pPr>
              <w:jc w:val="center"/>
            </w:pPr>
            <w:r>
              <w:rPr>
                <w:rFonts w:hint="eastAsia"/>
              </w:rPr>
              <w:t>新购</w:t>
            </w:r>
          </w:p>
        </w:tc>
        <w:tc>
          <w:tcPr>
            <w:tcW w:w="1131" w:type="dxa"/>
            <w:vAlign w:val="center"/>
          </w:tcPr>
          <w:p>
            <w:pPr>
              <w:jc w:val="center"/>
            </w:pPr>
            <w:r>
              <w:rPr>
                <w:rFonts w:hint="eastAsia"/>
              </w:rPr>
              <w:t>4</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45</w:t>
            </w:r>
          </w:p>
        </w:tc>
        <w:tc>
          <w:tcPr>
            <w:tcW w:w="1404" w:type="dxa"/>
            <w:vAlign w:val="center"/>
          </w:tcPr>
          <w:p>
            <w:pPr>
              <w:jc w:val="center"/>
            </w:pPr>
            <w:r>
              <w:rPr>
                <w:rFonts w:hint="eastAsia"/>
              </w:rPr>
              <w:t>稀酸循环泵</w:t>
            </w:r>
          </w:p>
        </w:tc>
        <w:tc>
          <w:tcPr>
            <w:tcW w:w="1086" w:type="dxa"/>
            <w:vAlign w:val="center"/>
          </w:tcPr>
          <w:p>
            <w:pPr>
              <w:jc w:val="center"/>
            </w:pPr>
            <w:r>
              <w:rPr>
                <w:rFonts w:hint="eastAsia"/>
              </w:rPr>
              <w:t>CS+PTFE</w:t>
            </w:r>
          </w:p>
        </w:tc>
        <w:tc>
          <w:tcPr>
            <w:tcW w:w="1028" w:type="dxa"/>
            <w:vAlign w:val="center"/>
          </w:tcPr>
          <w:p>
            <w:pPr>
              <w:jc w:val="center"/>
            </w:pPr>
            <w:r>
              <w:rPr>
                <w:rFonts w:hint="eastAsia"/>
              </w:rPr>
              <w:t>4</w:t>
            </w:r>
          </w:p>
        </w:tc>
        <w:tc>
          <w:tcPr>
            <w:tcW w:w="1819" w:type="dxa"/>
            <w:vAlign w:val="center"/>
          </w:tcPr>
          <w:p>
            <w:pPr>
              <w:jc w:val="center"/>
            </w:pPr>
            <w:r>
              <w:rPr>
                <w:rFonts w:hint="eastAsia"/>
              </w:rPr>
              <w:t>Q=50m</w:t>
            </w:r>
            <w:r>
              <w:rPr>
                <w:rFonts w:hint="eastAsia"/>
                <w:vertAlign w:val="superscript"/>
              </w:rPr>
              <w:t>3</w:t>
            </w:r>
            <w:r>
              <w:rPr>
                <w:rFonts w:hint="eastAsia"/>
              </w:rPr>
              <w:t>/h,</w:t>
            </w:r>
          </w:p>
          <w:p>
            <w:pPr>
              <w:jc w:val="center"/>
            </w:pPr>
            <w:r>
              <w:rPr>
                <w:rFonts w:hint="eastAsia"/>
              </w:rPr>
              <w:t>H=32m;</w:t>
            </w:r>
          </w:p>
          <w:p>
            <w:pPr>
              <w:jc w:val="center"/>
            </w:pPr>
            <w:r>
              <w:rPr>
                <w:rFonts w:hint="eastAsia"/>
              </w:rPr>
              <w:t>P＝15kW，变频</w:t>
            </w:r>
          </w:p>
        </w:tc>
        <w:tc>
          <w:tcPr>
            <w:tcW w:w="1594" w:type="dxa"/>
            <w:vAlign w:val="center"/>
          </w:tcPr>
          <w:p>
            <w:pPr>
              <w:jc w:val="center"/>
            </w:pPr>
            <w:r>
              <w:rPr>
                <w:rFonts w:hint="eastAsia"/>
              </w:rPr>
              <w:t>50/100</w:t>
            </w:r>
          </w:p>
        </w:tc>
        <w:tc>
          <w:tcPr>
            <w:tcW w:w="1949" w:type="dxa"/>
            <w:vAlign w:val="center"/>
          </w:tcPr>
          <w:p>
            <w:pPr>
              <w:jc w:val="center"/>
            </w:pPr>
            <w:r>
              <w:rPr>
                <w:rFonts w:hint="eastAsia"/>
              </w:rPr>
              <w:t>0.3/0.5</w:t>
            </w:r>
          </w:p>
        </w:tc>
        <w:tc>
          <w:tcPr>
            <w:tcW w:w="1524" w:type="dxa"/>
            <w:vAlign w:val="center"/>
          </w:tcPr>
          <w:p>
            <w:pPr>
              <w:jc w:val="center"/>
            </w:pPr>
            <w:r>
              <w:rPr>
                <w:rFonts w:hint="eastAsia"/>
              </w:rPr>
              <w:t>盐酸</w:t>
            </w:r>
          </w:p>
        </w:tc>
        <w:tc>
          <w:tcPr>
            <w:tcW w:w="944" w:type="dxa"/>
            <w:vAlign w:val="center"/>
          </w:tcPr>
          <w:p>
            <w:pPr>
              <w:jc w:val="center"/>
            </w:pPr>
            <w:r>
              <w:rPr>
                <w:rFonts w:hint="eastAsia"/>
              </w:rPr>
              <w:t>新购</w:t>
            </w:r>
          </w:p>
        </w:tc>
        <w:tc>
          <w:tcPr>
            <w:tcW w:w="1131" w:type="dxa"/>
            <w:vAlign w:val="center"/>
          </w:tcPr>
          <w:p>
            <w:pPr>
              <w:jc w:val="center"/>
            </w:pPr>
            <w:r>
              <w:rPr>
                <w:rFonts w:hint="eastAsia"/>
              </w:rPr>
              <w:t>4</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46</w:t>
            </w:r>
          </w:p>
        </w:tc>
        <w:tc>
          <w:tcPr>
            <w:tcW w:w="1404" w:type="dxa"/>
            <w:vAlign w:val="center"/>
          </w:tcPr>
          <w:p>
            <w:pPr>
              <w:jc w:val="center"/>
            </w:pPr>
            <w:r>
              <w:rPr>
                <w:rFonts w:hint="eastAsia"/>
              </w:rPr>
              <w:t>浓酸循环泵</w:t>
            </w:r>
          </w:p>
        </w:tc>
        <w:tc>
          <w:tcPr>
            <w:tcW w:w="1086" w:type="dxa"/>
            <w:vAlign w:val="center"/>
          </w:tcPr>
          <w:p>
            <w:pPr>
              <w:jc w:val="center"/>
            </w:pPr>
            <w:r>
              <w:rPr>
                <w:rFonts w:hint="eastAsia"/>
              </w:rPr>
              <w:t>CS+PTFE</w:t>
            </w:r>
          </w:p>
        </w:tc>
        <w:tc>
          <w:tcPr>
            <w:tcW w:w="1028" w:type="dxa"/>
            <w:vAlign w:val="center"/>
          </w:tcPr>
          <w:p>
            <w:pPr>
              <w:jc w:val="center"/>
            </w:pPr>
            <w:r>
              <w:rPr>
                <w:rFonts w:hint="eastAsia"/>
              </w:rPr>
              <w:t>4</w:t>
            </w:r>
          </w:p>
        </w:tc>
        <w:tc>
          <w:tcPr>
            <w:tcW w:w="1819" w:type="dxa"/>
            <w:vAlign w:val="center"/>
          </w:tcPr>
          <w:p>
            <w:pPr>
              <w:jc w:val="center"/>
            </w:pPr>
            <w:r>
              <w:rPr>
                <w:rFonts w:hint="eastAsia"/>
              </w:rPr>
              <w:t>Q=50m</w:t>
            </w:r>
            <w:r>
              <w:rPr>
                <w:rFonts w:hint="eastAsia"/>
                <w:vertAlign w:val="superscript"/>
              </w:rPr>
              <w:t>3</w:t>
            </w:r>
            <w:r>
              <w:rPr>
                <w:rFonts w:hint="eastAsia"/>
              </w:rPr>
              <w:t>/h,</w:t>
            </w:r>
          </w:p>
          <w:p>
            <w:pPr>
              <w:jc w:val="center"/>
            </w:pPr>
            <w:r>
              <w:rPr>
                <w:rFonts w:hint="eastAsia"/>
              </w:rPr>
              <w:t>H=32m:</w:t>
            </w:r>
          </w:p>
          <w:p>
            <w:pPr>
              <w:jc w:val="center"/>
            </w:pPr>
            <w:r>
              <w:rPr>
                <w:rFonts w:hint="eastAsia"/>
              </w:rPr>
              <w:t>P＝15kW，变频</w:t>
            </w:r>
          </w:p>
        </w:tc>
        <w:tc>
          <w:tcPr>
            <w:tcW w:w="1594" w:type="dxa"/>
            <w:vAlign w:val="center"/>
          </w:tcPr>
          <w:p>
            <w:pPr>
              <w:jc w:val="center"/>
            </w:pPr>
            <w:r>
              <w:rPr>
                <w:rFonts w:hint="eastAsia"/>
              </w:rPr>
              <w:t>50/100</w:t>
            </w:r>
          </w:p>
        </w:tc>
        <w:tc>
          <w:tcPr>
            <w:tcW w:w="1949" w:type="dxa"/>
            <w:vAlign w:val="center"/>
          </w:tcPr>
          <w:p>
            <w:pPr>
              <w:jc w:val="center"/>
            </w:pPr>
            <w:r>
              <w:rPr>
                <w:rFonts w:hint="eastAsia"/>
              </w:rPr>
              <w:t>0.3/0.5</w:t>
            </w:r>
          </w:p>
        </w:tc>
        <w:tc>
          <w:tcPr>
            <w:tcW w:w="1524" w:type="dxa"/>
            <w:vAlign w:val="center"/>
          </w:tcPr>
          <w:p>
            <w:pPr>
              <w:jc w:val="center"/>
            </w:pPr>
            <w:r>
              <w:rPr>
                <w:rFonts w:hint="eastAsia"/>
              </w:rPr>
              <w:t>盐酸</w:t>
            </w:r>
          </w:p>
        </w:tc>
        <w:tc>
          <w:tcPr>
            <w:tcW w:w="944" w:type="dxa"/>
            <w:vAlign w:val="center"/>
          </w:tcPr>
          <w:p>
            <w:pPr>
              <w:jc w:val="center"/>
            </w:pPr>
            <w:r>
              <w:rPr>
                <w:rFonts w:hint="eastAsia"/>
              </w:rPr>
              <w:t>新购</w:t>
            </w:r>
          </w:p>
        </w:tc>
        <w:tc>
          <w:tcPr>
            <w:tcW w:w="1131" w:type="dxa"/>
            <w:vAlign w:val="center"/>
          </w:tcPr>
          <w:p>
            <w:pPr>
              <w:jc w:val="center"/>
            </w:pPr>
            <w:r>
              <w:rPr>
                <w:rFonts w:hint="eastAsia"/>
              </w:rPr>
              <w:t>4</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47</w:t>
            </w:r>
          </w:p>
        </w:tc>
        <w:tc>
          <w:tcPr>
            <w:tcW w:w="1404" w:type="dxa"/>
            <w:vAlign w:val="center"/>
          </w:tcPr>
          <w:p>
            <w:pPr>
              <w:jc w:val="center"/>
            </w:pPr>
            <w:r>
              <w:rPr>
                <w:rFonts w:hint="eastAsia"/>
              </w:rPr>
              <w:t>故障收集输送泵</w:t>
            </w:r>
          </w:p>
        </w:tc>
        <w:tc>
          <w:tcPr>
            <w:tcW w:w="1086" w:type="dxa"/>
            <w:vAlign w:val="center"/>
          </w:tcPr>
          <w:p>
            <w:pPr>
              <w:jc w:val="center"/>
            </w:pPr>
            <w:r>
              <w:rPr>
                <w:rFonts w:hint="eastAsia"/>
              </w:rPr>
              <w:t>钢衬超</w:t>
            </w:r>
          </w:p>
          <w:p>
            <w:pPr>
              <w:jc w:val="center"/>
            </w:pPr>
            <w:r>
              <w:rPr>
                <w:rFonts w:hint="eastAsia"/>
              </w:rPr>
              <w:t>高分子量聚乙烯</w:t>
            </w:r>
          </w:p>
        </w:tc>
        <w:tc>
          <w:tcPr>
            <w:tcW w:w="1028" w:type="dxa"/>
            <w:vAlign w:val="center"/>
          </w:tcPr>
          <w:p>
            <w:pPr>
              <w:jc w:val="center"/>
            </w:pPr>
            <w:r>
              <w:rPr>
                <w:rFonts w:hint="eastAsia"/>
              </w:rPr>
              <w:t>4</w:t>
            </w:r>
          </w:p>
        </w:tc>
        <w:tc>
          <w:tcPr>
            <w:tcW w:w="1819" w:type="dxa"/>
            <w:vAlign w:val="center"/>
          </w:tcPr>
          <w:p>
            <w:pPr>
              <w:jc w:val="center"/>
            </w:pPr>
            <w:r>
              <w:rPr>
                <w:rFonts w:hint="eastAsia"/>
              </w:rPr>
              <w:t>Q=12m</w:t>
            </w:r>
            <w:r>
              <w:rPr>
                <w:rFonts w:hint="eastAsia"/>
                <w:vertAlign w:val="superscript"/>
              </w:rPr>
              <w:t>3</w:t>
            </w:r>
            <w:r>
              <w:rPr>
                <w:rFonts w:hint="eastAsia"/>
              </w:rPr>
              <w:t>/h,</w:t>
            </w:r>
          </w:p>
          <w:p>
            <w:pPr>
              <w:jc w:val="center"/>
            </w:pPr>
            <w:r>
              <w:rPr>
                <w:rFonts w:hint="eastAsia"/>
              </w:rPr>
              <w:t>H=22m:</w:t>
            </w:r>
          </w:p>
          <w:p>
            <w:pPr>
              <w:jc w:val="center"/>
            </w:pPr>
            <w:r>
              <w:rPr>
                <w:rFonts w:hint="eastAsia"/>
              </w:rPr>
              <w:t>P=4kW，变频</w:t>
            </w:r>
          </w:p>
        </w:tc>
        <w:tc>
          <w:tcPr>
            <w:tcW w:w="1594" w:type="dxa"/>
            <w:vAlign w:val="center"/>
          </w:tcPr>
          <w:p>
            <w:pPr>
              <w:jc w:val="center"/>
            </w:pPr>
            <w:r>
              <w:rPr>
                <w:rFonts w:hint="eastAsia"/>
              </w:rPr>
              <w:t>60~100/150</w:t>
            </w:r>
          </w:p>
        </w:tc>
        <w:tc>
          <w:tcPr>
            <w:tcW w:w="1949" w:type="dxa"/>
            <w:vAlign w:val="center"/>
          </w:tcPr>
          <w:p>
            <w:pPr>
              <w:jc w:val="center"/>
            </w:pPr>
            <w:r>
              <w:rPr>
                <w:rFonts w:hint="eastAsia"/>
              </w:rPr>
              <w:t>0.3/0.5</w:t>
            </w:r>
          </w:p>
        </w:tc>
        <w:tc>
          <w:tcPr>
            <w:tcW w:w="1524" w:type="dxa"/>
            <w:vAlign w:val="center"/>
          </w:tcPr>
          <w:p>
            <w:pPr>
              <w:jc w:val="center"/>
            </w:pPr>
            <w:r>
              <w:rPr>
                <w:rFonts w:hint="eastAsia"/>
              </w:rPr>
              <w:t>氯化石蜡</w:t>
            </w:r>
          </w:p>
        </w:tc>
        <w:tc>
          <w:tcPr>
            <w:tcW w:w="944" w:type="dxa"/>
            <w:vAlign w:val="center"/>
          </w:tcPr>
          <w:p>
            <w:pPr>
              <w:jc w:val="center"/>
            </w:pPr>
            <w:r>
              <w:rPr>
                <w:rFonts w:hint="eastAsia"/>
              </w:rPr>
              <w:t>新购</w:t>
            </w:r>
          </w:p>
        </w:tc>
        <w:tc>
          <w:tcPr>
            <w:tcW w:w="1131" w:type="dxa"/>
            <w:vAlign w:val="center"/>
          </w:tcPr>
          <w:p>
            <w:pPr>
              <w:jc w:val="center"/>
            </w:pPr>
            <w:r>
              <w:rPr>
                <w:rFonts w:hint="eastAsia"/>
              </w:rPr>
              <w:t>4</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 xml:space="preserve">48   </w:t>
            </w:r>
          </w:p>
        </w:tc>
        <w:tc>
          <w:tcPr>
            <w:tcW w:w="1404" w:type="dxa"/>
            <w:vAlign w:val="center"/>
          </w:tcPr>
          <w:p>
            <w:pPr>
              <w:jc w:val="center"/>
            </w:pPr>
            <w:r>
              <w:rPr>
                <w:rFonts w:hint="eastAsia"/>
              </w:rPr>
              <w:t>稳定剂抽料泵</w:t>
            </w:r>
          </w:p>
        </w:tc>
        <w:tc>
          <w:tcPr>
            <w:tcW w:w="1086" w:type="dxa"/>
            <w:vAlign w:val="center"/>
          </w:tcPr>
          <w:p>
            <w:pPr>
              <w:jc w:val="center"/>
            </w:pPr>
            <w:r>
              <w:rPr>
                <w:rFonts w:hint="eastAsia"/>
              </w:rPr>
              <w:t>S30408</w:t>
            </w:r>
          </w:p>
        </w:tc>
        <w:tc>
          <w:tcPr>
            <w:tcW w:w="1028" w:type="dxa"/>
            <w:vAlign w:val="center"/>
          </w:tcPr>
          <w:p>
            <w:pPr>
              <w:jc w:val="center"/>
            </w:pPr>
            <w:r>
              <w:rPr>
                <w:rFonts w:hint="eastAsia"/>
              </w:rPr>
              <w:t>2</w:t>
            </w:r>
          </w:p>
        </w:tc>
        <w:tc>
          <w:tcPr>
            <w:tcW w:w="1819" w:type="dxa"/>
            <w:vAlign w:val="center"/>
          </w:tcPr>
          <w:p>
            <w:pPr>
              <w:jc w:val="center"/>
            </w:pPr>
            <w:r>
              <w:rPr>
                <w:rFonts w:hint="eastAsia"/>
              </w:rPr>
              <w:t>Q=3.2m/h，</w:t>
            </w:r>
          </w:p>
          <w:p>
            <w:pPr>
              <w:jc w:val="center"/>
            </w:pPr>
            <w:r>
              <w:rPr>
                <w:rFonts w:hint="eastAsia"/>
              </w:rPr>
              <w:t>H=32m；</w:t>
            </w:r>
          </w:p>
          <w:p>
            <w:pPr>
              <w:jc w:val="center"/>
            </w:pPr>
            <w:r>
              <w:rPr>
                <w:rFonts w:hint="eastAsia"/>
              </w:rPr>
              <w:t>P=2.2kW，变频</w:t>
            </w:r>
          </w:p>
        </w:tc>
        <w:tc>
          <w:tcPr>
            <w:tcW w:w="1594" w:type="dxa"/>
            <w:vAlign w:val="center"/>
          </w:tcPr>
          <w:p>
            <w:pPr>
              <w:jc w:val="center"/>
            </w:pPr>
            <w:r>
              <w:rPr>
                <w:rFonts w:hint="eastAsia"/>
              </w:rPr>
              <w:t>60~100/150</w:t>
            </w:r>
          </w:p>
        </w:tc>
        <w:tc>
          <w:tcPr>
            <w:tcW w:w="1949" w:type="dxa"/>
            <w:vAlign w:val="center"/>
          </w:tcPr>
          <w:p>
            <w:pPr>
              <w:jc w:val="center"/>
            </w:pPr>
            <w:r>
              <w:rPr>
                <w:rFonts w:hint="eastAsia"/>
              </w:rPr>
              <w:t>0.3/0.5</w:t>
            </w:r>
          </w:p>
        </w:tc>
        <w:tc>
          <w:tcPr>
            <w:tcW w:w="1524" w:type="dxa"/>
            <w:vAlign w:val="center"/>
          </w:tcPr>
          <w:p>
            <w:pPr>
              <w:jc w:val="center"/>
            </w:pPr>
            <w:r>
              <w:rPr>
                <w:rFonts w:hint="eastAsia"/>
              </w:rPr>
              <w:t xml:space="preserve">稳定剂 </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6" w:type="dxa"/>
            <w:gridSpan w:val="11"/>
            <w:vAlign w:val="center"/>
          </w:tcPr>
          <w:p>
            <w:pPr>
              <w:jc w:val="center"/>
              <w:rPr>
                <w:b/>
                <w:bCs/>
              </w:rPr>
            </w:pPr>
            <w:r>
              <w:rPr>
                <w:b/>
                <w:bCs/>
              </w:rPr>
              <w:t>塔类设备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49</w:t>
            </w:r>
          </w:p>
        </w:tc>
        <w:tc>
          <w:tcPr>
            <w:tcW w:w="1404" w:type="dxa"/>
            <w:vAlign w:val="center"/>
          </w:tcPr>
          <w:p>
            <w:pPr>
              <w:jc w:val="center"/>
            </w:pPr>
            <w:r>
              <w:rPr>
                <w:rFonts w:hint="eastAsia"/>
              </w:rPr>
              <w:t>一级氯化塔</w:t>
            </w:r>
          </w:p>
        </w:tc>
        <w:tc>
          <w:tcPr>
            <w:tcW w:w="1086" w:type="dxa"/>
            <w:vAlign w:val="center"/>
          </w:tcPr>
          <w:p>
            <w:pPr>
              <w:jc w:val="center"/>
            </w:pPr>
            <w:r>
              <w:rPr>
                <w:rFonts w:hint="eastAsia"/>
              </w:rPr>
              <w:t>CS＋搪瓷</w:t>
            </w:r>
          </w:p>
        </w:tc>
        <w:tc>
          <w:tcPr>
            <w:tcW w:w="1028" w:type="dxa"/>
            <w:vAlign w:val="center"/>
          </w:tcPr>
          <w:p>
            <w:pPr>
              <w:jc w:val="center"/>
            </w:pPr>
            <w:r>
              <w:rPr>
                <w:rFonts w:hint="eastAsia"/>
              </w:rPr>
              <w:t>8</w:t>
            </w:r>
          </w:p>
        </w:tc>
        <w:tc>
          <w:tcPr>
            <w:tcW w:w="1819" w:type="dxa"/>
            <w:vAlign w:val="center"/>
          </w:tcPr>
          <w:p>
            <w:pPr>
              <w:jc w:val="center"/>
            </w:pPr>
            <w:r>
              <w:rPr>
                <w:rFonts w:hint="eastAsia"/>
              </w:rPr>
              <w:t>DN1000</w:t>
            </w:r>
            <w:r>
              <w:rPr>
                <w:rFonts w:ascii="Arial" w:hAnsi="Arial" w:cs="Arial"/>
              </w:rPr>
              <w:t>×</w:t>
            </w:r>
            <w:r>
              <w:rPr>
                <w:rFonts w:hint="eastAsia"/>
              </w:rPr>
              <w:t>10000</w:t>
            </w:r>
          </w:p>
          <w:p>
            <w:pPr>
              <w:jc w:val="center"/>
            </w:pPr>
            <w:r>
              <w:rPr>
                <w:rFonts w:hint="eastAsia"/>
              </w:rPr>
              <w:t>(H)mm</w:t>
            </w:r>
          </w:p>
        </w:tc>
        <w:tc>
          <w:tcPr>
            <w:tcW w:w="1594" w:type="dxa"/>
            <w:vAlign w:val="center"/>
          </w:tcPr>
          <w:p>
            <w:pPr>
              <w:jc w:val="center"/>
            </w:pPr>
            <w:r>
              <w:rPr>
                <w:rFonts w:hint="eastAsia"/>
              </w:rPr>
              <w:t>容器：</w:t>
            </w:r>
          </w:p>
          <w:p>
            <w:pPr>
              <w:jc w:val="center"/>
            </w:pPr>
            <w:r>
              <w:rPr>
                <w:rFonts w:hint="eastAsia"/>
              </w:rPr>
              <w:t>20~120/180</w:t>
            </w:r>
          </w:p>
          <w:p>
            <w:pPr>
              <w:jc w:val="center"/>
            </w:pPr>
            <w:r>
              <w:rPr>
                <w:rFonts w:hint="eastAsia"/>
              </w:rPr>
              <w:t>夹套：25</w:t>
            </w:r>
          </w:p>
        </w:tc>
        <w:tc>
          <w:tcPr>
            <w:tcW w:w="1949" w:type="dxa"/>
            <w:vAlign w:val="center"/>
          </w:tcPr>
          <w:p>
            <w:pPr>
              <w:jc w:val="center"/>
            </w:pPr>
            <w:r>
              <w:rPr>
                <w:rFonts w:hint="eastAsia"/>
              </w:rPr>
              <w:t>容器：0.06～</w:t>
            </w:r>
          </w:p>
          <w:p>
            <w:pPr>
              <w:jc w:val="center"/>
            </w:pPr>
            <w:r>
              <w:rPr>
                <w:rFonts w:hint="eastAsia"/>
              </w:rPr>
              <w:t>0.08</w:t>
            </w:r>
            <w:r>
              <w:rPr>
                <w:rFonts w:hint="eastAsia"/>
                <w:lang w:val="en-US" w:eastAsia="zh-CN"/>
              </w:rPr>
              <w:t>/</w:t>
            </w:r>
            <w:r>
              <w:rPr>
                <w:rFonts w:hint="eastAsia"/>
              </w:rPr>
              <w:t>0.1；夹</w:t>
            </w:r>
          </w:p>
          <w:p>
            <w:pPr>
              <w:jc w:val="center"/>
            </w:pPr>
            <w:r>
              <w:rPr>
                <w:rFonts w:hint="eastAsia"/>
              </w:rPr>
              <w:t>套：0.4</w:t>
            </w:r>
            <w:r>
              <w:rPr>
                <w:rFonts w:hint="eastAsia"/>
                <w:lang w:val="en-US" w:eastAsia="zh-CN"/>
              </w:rPr>
              <w:t>/</w:t>
            </w:r>
            <w:r>
              <w:rPr>
                <w:rFonts w:hint="eastAsia"/>
              </w:rPr>
              <w:t>0.5</w:t>
            </w:r>
          </w:p>
        </w:tc>
        <w:tc>
          <w:tcPr>
            <w:tcW w:w="1524" w:type="dxa"/>
            <w:vAlign w:val="center"/>
          </w:tcPr>
          <w:p>
            <w:pPr>
              <w:jc w:val="center"/>
            </w:pPr>
            <w:r>
              <w:rPr>
                <w:rFonts w:hint="eastAsia"/>
              </w:rPr>
              <w:t>容器：氯气、氯化石蜡、氯化氢</w:t>
            </w:r>
          </w:p>
          <w:p>
            <w:pPr>
              <w:jc w:val="center"/>
            </w:pPr>
            <w:r>
              <w:rPr>
                <w:rFonts w:hint="eastAsia"/>
              </w:rPr>
              <w:t>夹套：循环水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50</w:t>
            </w:r>
          </w:p>
        </w:tc>
        <w:tc>
          <w:tcPr>
            <w:tcW w:w="1404" w:type="dxa"/>
            <w:vAlign w:val="center"/>
          </w:tcPr>
          <w:p>
            <w:pPr>
              <w:jc w:val="center"/>
            </w:pPr>
            <w:r>
              <w:rPr>
                <w:rFonts w:hint="eastAsia"/>
              </w:rPr>
              <w:t>二级氯化塔</w:t>
            </w:r>
          </w:p>
        </w:tc>
        <w:tc>
          <w:tcPr>
            <w:tcW w:w="1086" w:type="dxa"/>
            <w:vAlign w:val="center"/>
          </w:tcPr>
          <w:p>
            <w:pPr>
              <w:jc w:val="center"/>
            </w:pPr>
            <w:r>
              <w:rPr>
                <w:rFonts w:hint="eastAsia"/>
              </w:rPr>
              <w:t>CS＋搪瓷</w:t>
            </w:r>
          </w:p>
        </w:tc>
        <w:tc>
          <w:tcPr>
            <w:tcW w:w="1028" w:type="dxa"/>
            <w:vAlign w:val="center"/>
          </w:tcPr>
          <w:p>
            <w:pPr>
              <w:jc w:val="center"/>
            </w:pPr>
            <w:r>
              <w:rPr>
                <w:rFonts w:hint="eastAsia"/>
              </w:rPr>
              <w:t>8</w:t>
            </w:r>
          </w:p>
        </w:tc>
        <w:tc>
          <w:tcPr>
            <w:tcW w:w="1819" w:type="dxa"/>
            <w:vAlign w:val="center"/>
          </w:tcPr>
          <w:p>
            <w:pPr>
              <w:jc w:val="center"/>
            </w:pPr>
            <w:r>
              <w:rPr>
                <w:rFonts w:hint="eastAsia"/>
              </w:rPr>
              <w:t>DN1000</w:t>
            </w:r>
            <w:r>
              <w:rPr>
                <w:rFonts w:ascii="Arial" w:hAnsi="Arial" w:cs="Arial"/>
              </w:rPr>
              <w:t>×</w:t>
            </w:r>
            <w:r>
              <w:rPr>
                <w:rFonts w:hint="eastAsia"/>
              </w:rPr>
              <w:t>10000</w:t>
            </w:r>
          </w:p>
          <w:p>
            <w:pPr>
              <w:jc w:val="center"/>
            </w:pPr>
            <w:r>
              <w:rPr>
                <w:rFonts w:hint="eastAsia"/>
              </w:rPr>
              <w:t>wu(H)</w:t>
            </w:r>
          </w:p>
        </w:tc>
        <w:tc>
          <w:tcPr>
            <w:tcW w:w="1594" w:type="dxa"/>
            <w:vAlign w:val="center"/>
          </w:tcPr>
          <w:p>
            <w:pPr>
              <w:jc w:val="center"/>
            </w:pPr>
            <w:r>
              <w:rPr>
                <w:rFonts w:hint="eastAsia"/>
              </w:rPr>
              <w:t>容器：</w:t>
            </w:r>
          </w:p>
          <w:p>
            <w:pPr>
              <w:jc w:val="center"/>
            </w:pPr>
            <w:r>
              <w:rPr>
                <w:rFonts w:hint="eastAsia"/>
              </w:rPr>
              <w:t>20~120/180</w:t>
            </w:r>
          </w:p>
          <w:p>
            <w:pPr>
              <w:jc w:val="center"/>
            </w:pPr>
            <w:r>
              <w:rPr>
                <w:rFonts w:hint="eastAsia"/>
              </w:rPr>
              <w:t>夹套：25</w:t>
            </w:r>
          </w:p>
        </w:tc>
        <w:tc>
          <w:tcPr>
            <w:tcW w:w="1949" w:type="dxa"/>
            <w:vAlign w:val="center"/>
          </w:tcPr>
          <w:p>
            <w:pPr>
              <w:jc w:val="center"/>
            </w:pPr>
            <w:r>
              <w:rPr>
                <w:rFonts w:hint="eastAsia"/>
              </w:rPr>
              <w:t>容器：容器：</w:t>
            </w:r>
          </w:p>
          <w:p>
            <w:pPr>
              <w:jc w:val="center"/>
            </w:pPr>
            <w:r>
              <w:rPr>
                <w:rFonts w:hint="eastAsia"/>
              </w:rPr>
              <w:t>0.06~</w:t>
            </w:r>
          </w:p>
          <w:p>
            <w:pPr>
              <w:jc w:val="center"/>
            </w:pPr>
            <w:r>
              <w:rPr>
                <w:rFonts w:hint="eastAsia"/>
              </w:rPr>
              <w:t>0.08/0.1:</w:t>
            </w:r>
          </w:p>
          <w:p>
            <w:pPr>
              <w:jc w:val="center"/>
            </w:pPr>
            <w:r>
              <w:rPr>
                <w:rFonts w:hint="eastAsia"/>
              </w:rPr>
              <w:t>夹套：0.4</w:t>
            </w:r>
            <w:r>
              <w:rPr>
                <w:rFonts w:hint="eastAsia"/>
                <w:lang w:val="en-US" w:eastAsia="zh-CN"/>
              </w:rPr>
              <w:t>/</w:t>
            </w:r>
            <w:r>
              <w:rPr>
                <w:rFonts w:hint="eastAsia"/>
              </w:rPr>
              <w:t>0.5</w:t>
            </w:r>
          </w:p>
        </w:tc>
        <w:tc>
          <w:tcPr>
            <w:tcW w:w="1524" w:type="dxa"/>
            <w:vAlign w:val="center"/>
          </w:tcPr>
          <w:p>
            <w:pPr>
              <w:jc w:val="center"/>
            </w:pPr>
            <w:r>
              <w:rPr>
                <w:rFonts w:hint="eastAsia"/>
              </w:rPr>
              <w:t>容器：氯气、氯化石蜡、氯化氢</w:t>
            </w:r>
          </w:p>
          <w:p>
            <w:pPr>
              <w:jc w:val="center"/>
            </w:pPr>
            <w:r>
              <w:rPr>
                <w:rFonts w:hint="eastAsia"/>
              </w:rPr>
              <w:t>夹套：循环水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51</w:t>
            </w:r>
          </w:p>
        </w:tc>
        <w:tc>
          <w:tcPr>
            <w:tcW w:w="1404" w:type="dxa"/>
            <w:vAlign w:val="center"/>
          </w:tcPr>
          <w:p>
            <w:pPr>
              <w:jc w:val="center"/>
            </w:pPr>
            <w:r>
              <w:rPr>
                <w:rFonts w:hint="eastAsia"/>
              </w:rPr>
              <w:t>三级氯化塔</w:t>
            </w:r>
          </w:p>
        </w:tc>
        <w:tc>
          <w:tcPr>
            <w:tcW w:w="1086" w:type="dxa"/>
            <w:vAlign w:val="center"/>
          </w:tcPr>
          <w:p>
            <w:pPr>
              <w:jc w:val="center"/>
            </w:pPr>
            <w:r>
              <w:rPr>
                <w:rFonts w:hint="eastAsia"/>
              </w:rPr>
              <w:t>CS＋搪瓷</w:t>
            </w:r>
          </w:p>
        </w:tc>
        <w:tc>
          <w:tcPr>
            <w:tcW w:w="1028" w:type="dxa"/>
            <w:vAlign w:val="center"/>
          </w:tcPr>
          <w:p>
            <w:pPr>
              <w:jc w:val="center"/>
            </w:pPr>
            <w:r>
              <w:rPr>
                <w:rFonts w:hint="eastAsia"/>
              </w:rPr>
              <w:t>8</w:t>
            </w:r>
          </w:p>
        </w:tc>
        <w:tc>
          <w:tcPr>
            <w:tcW w:w="1819" w:type="dxa"/>
            <w:vAlign w:val="center"/>
          </w:tcPr>
          <w:p>
            <w:pPr>
              <w:jc w:val="center"/>
            </w:pPr>
            <w:r>
              <w:rPr>
                <w:rFonts w:hint="eastAsia"/>
              </w:rPr>
              <w:t>DN1000</w:t>
            </w:r>
            <w:r>
              <w:rPr>
                <w:rFonts w:ascii="Arial" w:hAnsi="Arial" w:cs="Arial"/>
              </w:rPr>
              <w:t>×</w:t>
            </w:r>
            <w:r>
              <w:rPr>
                <w:rFonts w:hint="eastAsia"/>
              </w:rPr>
              <w:t>10000</w:t>
            </w:r>
          </w:p>
          <w:p>
            <w:pPr>
              <w:jc w:val="center"/>
            </w:pPr>
            <w:r>
              <w:rPr>
                <w:rFonts w:hint="eastAsia"/>
              </w:rPr>
              <w:t>(H)mm</w:t>
            </w:r>
          </w:p>
        </w:tc>
        <w:tc>
          <w:tcPr>
            <w:tcW w:w="1594" w:type="dxa"/>
            <w:vAlign w:val="center"/>
          </w:tcPr>
          <w:p>
            <w:pPr>
              <w:jc w:val="center"/>
            </w:pPr>
            <w:r>
              <w:rPr>
                <w:rFonts w:hint="eastAsia"/>
              </w:rPr>
              <w:t>容器：</w:t>
            </w:r>
          </w:p>
          <w:p>
            <w:pPr>
              <w:jc w:val="center"/>
            </w:pPr>
            <w:r>
              <w:rPr>
                <w:rFonts w:hint="eastAsia"/>
              </w:rPr>
              <w:t>20~120/180</w:t>
            </w:r>
          </w:p>
          <w:p>
            <w:pPr>
              <w:jc w:val="center"/>
            </w:pPr>
            <w:r>
              <w:rPr>
                <w:rFonts w:hint="eastAsia"/>
              </w:rPr>
              <w:t>夹套：25</w:t>
            </w:r>
          </w:p>
        </w:tc>
        <w:tc>
          <w:tcPr>
            <w:tcW w:w="1949" w:type="dxa"/>
            <w:vAlign w:val="center"/>
          </w:tcPr>
          <w:p>
            <w:pPr>
              <w:jc w:val="center"/>
            </w:pPr>
            <w:r>
              <w:rPr>
                <w:rFonts w:hint="eastAsia"/>
              </w:rPr>
              <w:t>容器：0.06～</w:t>
            </w:r>
          </w:p>
          <w:p>
            <w:pPr>
              <w:jc w:val="center"/>
            </w:pPr>
            <w:r>
              <w:rPr>
                <w:rFonts w:hint="eastAsia"/>
              </w:rPr>
              <w:t>0.08</w:t>
            </w:r>
            <w:r>
              <w:rPr>
                <w:rFonts w:hint="eastAsia"/>
                <w:lang w:val="en-US" w:eastAsia="zh-CN"/>
              </w:rPr>
              <w:t>/</w:t>
            </w:r>
            <w:r>
              <w:rPr>
                <w:rFonts w:hint="eastAsia"/>
              </w:rPr>
              <w:t>0.1：夹</w:t>
            </w:r>
          </w:p>
          <w:p>
            <w:pPr>
              <w:jc w:val="center"/>
            </w:pPr>
            <w:r>
              <w:rPr>
                <w:rFonts w:hint="eastAsia"/>
              </w:rPr>
              <w:t>套：0.4</w:t>
            </w:r>
            <w:r>
              <w:rPr>
                <w:rFonts w:hint="eastAsia"/>
                <w:lang w:val="en-US" w:eastAsia="zh-CN"/>
              </w:rPr>
              <w:t>/</w:t>
            </w:r>
            <w:r>
              <w:rPr>
                <w:rFonts w:hint="eastAsia"/>
              </w:rPr>
              <w:t>0.5</w:t>
            </w:r>
          </w:p>
        </w:tc>
        <w:tc>
          <w:tcPr>
            <w:tcW w:w="1524" w:type="dxa"/>
            <w:vAlign w:val="center"/>
          </w:tcPr>
          <w:p>
            <w:pPr>
              <w:jc w:val="center"/>
            </w:pPr>
            <w:r>
              <w:rPr>
                <w:rFonts w:hint="eastAsia"/>
              </w:rPr>
              <w:t>容器：氯气、氯化石蜡、氯化氢</w:t>
            </w:r>
          </w:p>
          <w:p>
            <w:pPr>
              <w:jc w:val="center"/>
            </w:pPr>
            <w:r>
              <w:rPr>
                <w:rFonts w:hint="eastAsia"/>
              </w:rPr>
              <w:t>夹套：循环水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52</w:t>
            </w:r>
          </w:p>
        </w:tc>
        <w:tc>
          <w:tcPr>
            <w:tcW w:w="1404" w:type="dxa"/>
            <w:vAlign w:val="center"/>
          </w:tcPr>
          <w:p>
            <w:pPr>
              <w:jc w:val="center"/>
            </w:pPr>
            <w:r>
              <w:rPr>
                <w:rFonts w:hint="eastAsia"/>
              </w:rPr>
              <w:t>四级氯化塔</w:t>
            </w:r>
          </w:p>
        </w:tc>
        <w:tc>
          <w:tcPr>
            <w:tcW w:w="1086" w:type="dxa"/>
            <w:vAlign w:val="center"/>
          </w:tcPr>
          <w:p>
            <w:pPr>
              <w:jc w:val="center"/>
            </w:pPr>
            <w:r>
              <w:rPr>
                <w:rFonts w:hint="eastAsia"/>
              </w:rPr>
              <w:t>CS＋搪瓷</w:t>
            </w:r>
          </w:p>
        </w:tc>
        <w:tc>
          <w:tcPr>
            <w:tcW w:w="1028" w:type="dxa"/>
            <w:vAlign w:val="center"/>
          </w:tcPr>
          <w:p>
            <w:pPr>
              <w:jc w:val="center"/>
            </w:pPr>
            <w:r>
              <w:rPr>
                <w:rFonts w:hint="eastAsia"/>
              </w:rPr>
              <w:t>8</w:t>
            </w:r>
          </w:p>
        </w:tc>
        <w:tc>
          <w:tcPr>
            <w:tcW w:w="1819" w:type="dxa"/>
            <w:vAlign w:val="center"/>
          </w:tcPr>
          <w:p>
            <w:pPr>
              <w:jc w:val="center"/>
            </w:pPr>
            <w:r>
              <w:rPr>
                <w:rFonts w:hint="eastAsia"/>
              </w:rPr>
              <w:t>DN1000</w:t>
            </w:r>
            <w:r>
              <w:rPr>
                <w:rFonts w:ascii="Arial" w:hAnsi="Arial" w:cs="Arial"/>
              </w:rPr>
              <w:t>×</w:t>
            </w:r>
            <w:r>
              <w:rPr>
                <w:rFonts w:hint="eastAsia"/>
              </w:rPr>
              <w:t>10000</w:t>
            </w:r>
          </w:p>
          <w:p>
            <w:pPr>
              <w:jc w:val="center"/>
            </w:pPr>
            <w:r>
              <w:rPr>
                <w:rFonts w:hint="eastAsia"/>
              </w:rPr>
              <w:t>(H)mm</w:t>
            </w:r>
          </w:p>
        </w:tc>
        <w:tc>
          <w:tcPr>
            <w:tcW w:w="1594" w:type="dxa"/>
            <w:vAlign w:val="center"/>
          </w:tcPr>
          <w:p>
            <w:pPr>
              <w:jc w:val="center"/>
            </w:pPr>
            <w:r>
              <w:rPr>
                <w:rFonts w:hint="eastAsia"/>
              </w:rPr>
              <w:t>容器：</w:t>
            </w:r>
          </w:p>
          <w:p>
            <w:pPr>
              <w:jc w:val="center"/>
            </w:pPr>
            <w:r>
              <w:rPr>
                <w:rFonts w:hint="eastAsia"/>
              </w:rPr>
              <w:t>20~120/180</w:t>
            </w:r>
          </w:p>
          <w:p>
            <w:pPr>
              <w:jc w:val="center"/>
            </w:pPr>
            <w:r>
              <w:rPr>
                <w:rFonts w:hint="eastAsia"/>
              </w:rPr>
              <w:t>夹套：25</w:t>
            </w:r>
          </w:p>
        </w:tc>
        <w:tc>
          <w:tcPr>
            <w:tcW w:w="1949" w:type="dxa"/>
            <w:vAlign w:val="center"/>
          </w:tcPr>
          <w:p>
            <w:pPr>
              <w:jc w:val="center"/>
            </w:pPr>
            <w:r>
              <w:rPr>
                <w:rFonts w:hint="eastAsia"/>
              </w:rPr>
              <w:t>容器：0.06～</w:t>
            </w:r>
          </w:p>
          <w:p>
            <w:pPr>
              <w:jc w:val="center"/>
            </w:pPr>
            <w:r>
              <w:rPr>
                <w:rFonts w:hint="eastAsia"/>
              </w:rPr>
              <w:t>0.08</w:t>
            </w:r>
            <w:r>
              <w:rPr>
                <w:rFonts w:hint="eastAsia"/>
                <w:lang w:val="en-US" w:eastAsia="zh-CN"/>
              </w:rPr>
              <w:t>/</w:t>
            </w:r>
            <w:r>
              <w:rPr>
                <w:rFonts w:hint="eastAsia"/>
              </w:rPr>
              <w:t>0.1：夹</w:t>
            </w:r>
          </w:p>
          <w:p>
            <w:pPr>
              <w:jc w:val="center"/>
            </w:pPr>
            <w:r>
              <w:rPr>
                <w:rFonts w:hint="eastAsia"/>
              </w:rPr>
              <w:t>套：0.4</w:t>
            </w:r>
            <w:r>
              <w:rPr>
                <w:rFonts w:hint="eastAsia"/>
                <w:lang w:val="en-US" w:eastAsia="zh-CN"/>
              </w:rPr>
              <w:t>/</w:t>
            </w:r>
            <w:r>
              <w:rPr>
                <w:rFonts w:hint="eastAsia"/>
              </w:rPr>
              <w:t>0.5</w:t>
            </w:r>
          </w:p>
        </w:tc>
        <w:tc>
          <w:tcPr>
            <w:tcW w:w="1524" w:type="dxa"/>
            <w:vAlign w:val="center"/>
          </w:tcPr>
          <w:p>
            <w:pPr>
              <w:jc w:val="center"/>
            </w:pPr>
            <w:r>
              <w:rPr>
                <w:rFonts w:hint="eastAsia"/>
              </w:rPr>
              <w:t>容器：氯气、氯化石蜡、氯化氢</w:t>
            </w:r>
          </w:p>
          <w:p>
            <w:pPr>
              <w:jc w:val="center"/>
            </w:pPr>
            <w:r>
              <w:rPr>
                <w:rFonts w:hint="eastAsia"/>
              </w:rPr>
              <w:t>夹套：循环水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53</w:t>
            </w:r>
          </w:p>
        </w:tc>
        <w:tc>
          <w:tcPr>
            <w:tcW w:w="1404" w:type="dxa"/>
            <w:vAlign w:val="center"/>
          </w:tcPr>
          <w:p>
            <w:pPr>
              <w:jc w:val="center"/>
            </w:pPr>
            <w:r>
              <w:rPr>
                <w:rFonts w:hint="eastAsia"/>
              </w:rPr>
              <w:t>五级氯化塔</w:t>
            </w:r>
          </w:p>
        </w:tc>
        <w:tc>
          <w:tcPr>
            <w:tcW w:w="1086" w:type="dxa"/>
            <w:vAlign w:val="center"/>
          </w:tcPr>
          <w:p>
            <w:pPr>
              <w:jc w:val="center"/>
            </w:pPr>
            <w:r>
              <w:rPr>
                <w:rFonts w:hint="eastAsia"/>
              </w:rPr>
              <w:t>CS＋搪瓷</w:t>
            </w:r>
          </w:p>
        </w:tc>
        <w:tc>
          <w:tcPr>
            <w:tcW w:w="1028" w:type="dxa"/>
            <w:vAlign w:val="center"/>
          </w:tcPr>
          <w:p>
            <w:pPr>
              <w:jc w:val="center"/>
            </w:pPr>
            <w:r>
              <w:rPr>
                <w:rFonts w:hint="eastAsia"/>
              </w:rPr>
              <w:t>8</w:t>
            </w:r>
          </w:p>
        </w:tc>
        <w:tc>
          <w:tcPr>
            <w:tcW w:w="1819" w:type="dxa"/>
            <w:vAlign w:val="center"/>
          </w:tcPr>
          <w:p>
            <w:pPr>
              <w:jc w:val="center"/>
            </w:pPr>
            <w:r>
              <w:rPr>
                <w:rFonts w:hint="eastAsia"/>
              </w:rPr>
              <w:t>DN1000</w:t>
            </w:r>
            <w:r>
              <w:rPr>
                <w:rFonts w:ascii="Arial" w:hAnsi="Arial" w:cs="Arial"/>
              </w:rPr>
              <w:t>×</w:t>
            </w:r>
            <w:r>
              <w:rPr>
                <w:rFonts w:hint="eastAsia"/>
              </w:rPr>
              <w:t>10000</w:t>
            </w:r>
          </w:p>
          <w:p>
            <w:pPr>
              <w:jc w:val="center"/>
            </w:pPr>
            <w:r>
              <w:rPr>
                <w:rFonts w:hint="eastAsia"/>
              </w:rPr>
              <w:t>(H)mm</w:t>
            </w:r>
          </w:p>
        </w:tc>
        <w:tc>
          <w:tcPr>
            <w:tcW w:w="1594" w:type="dxa"/>
            <w:vAlign w:val="center"/>
          </w:tcPr>
          <w:p>
            <w:pPr>
              <w:jc w:val="center"/>
            </w:pPr>
            <w:r>
              <w:rPr>
                <w:rFonts w:hint="eastAsia"/>
              </w:rPr>
              <w:t>容器：</w:t>
            </w:r>
          </w:p>
          <w:p>
            <w:pPr>
              <w:jc w:val="center"/>
            </w:pPr>
            <w:r>
              <w:rPr>
                <w:rFonts w:hint="eastAsia"/>
              </w:rPr>
              <w:t>20~120/180</w:t>
            </w:r>
          </w:p>
          <w:p>
            <w:pPr>
              <w:jc w:val="center"/>
            </w:pPr>
            <w:r>
              <w:rPr>
                <w:rFonts w:hint="eastAsia"/>
              </w:rPr>
              <w:t>夹套：25</w:t>
            </w:r>
          </w:p>
        </w:tc>
        <w:tc>
          <w:tcPr>
            <w:tcW w:w="1949" w:type="dxa"/>
            <w:vAlign w:val="center"/>
          </w:tcPr>
          <w:p>
            <w:pPr>
              <w:jc w:val="center"/>
            </w:pPr>
            <w:r>
              <w:rPr>
                <w:rFonts w:hint="eastAsia"/>
              </w:rPr>
              <w:t>容器：0.06～</w:t>
            </w:r>
          </w:p>
          <w:p>
            <w:pPr>
              <w:jc w:val="center"/>
            </w:pPr>
            <w:r>
              <w:rPr>
                <w:rFonts w:hint="eastAsia"/>
              </w:rPr>
              <w:t>0.08</w:t>
            </w:r>
            <w:r>
              <w:rPr>
                <w:rFonts w:hint="eastAsia"/>
                <w:lang w:val="en-US" w:eastAsia="zh-CN"/>
              </w:rPr>
              <w:t>/</w:t>
            </w:r>
            <w:r>
              <w:rPr>
                <w:rFonts w:hint="eastAsia"/>
              </w:rPr>
              <w:t>0.1；夹</w:t>
            </w:r>
          </w:p>
          <w:p>
            <w:pPr>
              <w:jc w:val="center"/>
            </w:pPr>
            <w:r>
              <w:rPr>
                <w:rFonts w:hint="eastAsia"/>
              </w:rPr>
              <w:t>套：0.4</w:t>
            </w:r>
            <w:r>
              <w:rPr>
                <w:rFonts w:hint="eastAsia"/>
                <w:lang w:val="en-US" w:eastAsia="zh-CN"/>
              </w:rPr>
              <w:t>/</w:t>
            </w:r>
            <w:r>
              <w:rPr>
                <w:rFonts w:hint="eastAsia"/>
              </w:rPr>
              <w:t>0.5</w:t>
            </w:r>
          </w:p>
        </w:tc>
        <w:tc>
          <w:tcPr>
            <w:tcW w:w="1524" w:type="dxa"/>
            <w:vAlign w:val="center"/>
          </w:tcPr>
          <w:p>
            <w:pPr>
              <w:jc w:val="center"/>
            </w:pPr>
            <w:r>
              <w:rPr>
                <w:rFonts w:hint="eastAsia"/>
              </w:rPr>
              <w:t>容器：氯气、氯化石蜡、氯化氢</w:t>
            </w:r>
          </w:p>
          <w:p>
            <w:pPr>
              <w:jc w:val="center"/>
            </w:pPr>
            <w:r>
              <w:rPr>
                <w:rFonts w:hint="eastAsia"/>
              </w:rPr>
              <w:t>夹套：循环水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5" w:hRule="atLeast"/>
          <w:jc w:val="center"/>
        </w:trPr>
        <w:tc>
          <w:tcPr>
            <w:tcW w:w="724" w:type="dxa"/>
            <w:vAlign w:val="center"/>
          </w:tcPr>
          <w:p>
            <w:pPr>
              <w:jc w:val="center"/>
            </w:pPr>
            <w:r>
              <w:rPr>
                <w:rFonts w:hint="eastAsia"/>
              </w:rPr>
              <w:t>54</w:t>
            </w:r>
          </w:p>
        </w:tc>
        <w:tc>
          <w:tcPr>
            <w:tcW w:w="1404" w:type="dxa"/>
            <w:vAlign w:val="center"/>
          </w:tcPr>
          <w:p>
            <w:pPr>
              <w:jc w:val="center"/>
            </w:pPr>
            <w:r>
              <w:rPr>
                <w:rFonts w:hint="eastAsia"/>
              </w:rPr>
              <w:t>六级氯化塔</w:t>
            </w:r>
          </w:p>
        </w:tc>
        <w:tc>
          <w:tcPr>
            <w:tcW w:w="1086" w:type="dxa"/>
            <w:vAlign w:val="center"/>
          </w:tcPr>
          <w:p>
            <w:pPr>
              <w:jc w:val="center"/>
            </w:pPr>
            <w:r>
              <w:rPr>
                <w:rFonts w:hint="eastAsia"/>
              </w:rPr>
              <w:t>CS＋搪瓷</w:t>
            </w:r>
          </w:p>
        </w:tc>
        <w:tc>
          <w:tcPr>
            <w:tcW w:w="1028" w:type="dxa"/>
            <w:vAlign w:val="center"/>
          </w:tcPr>
          <w:p>
            <w:pPr>
              <w:jc w:val="center"/>
            </w:pPr>
            <w:r>
              <w:rPr>
                <w:rFonts w:hint="eastAsia"/>
              </w:rPr>
              <w:t>8</w:t>
            </w:r>
          </w:p>
        </w:tc>
        <w:tc>
          <w:tcPr>
            <w:tcW w:w="1819" w:type="dxa"/>
            <w:vAlign w:val="center"/>
          </w:tcPr>
          <w:p>
            <w:pPr>
              <w:jc w:val="center"/>
            </w:pPr>
            <w:r>
              <w:rPr>
                <w:rFonts w:hint="eastAsia"/>
              </w:rPr>
              <w:t>DN1000</w:t>
            </w:r>
            <w:r>
              <w:rPr>
                <w:rFonts w:ascii="Arial" w:hAnsi="Arial" w:cs="Arial"/>
              </w:rPr>
              <w:t>×</w:t>
            </w:r>
            <w:r>
              <w:rPr>
                <w:rFonts w:hint="eastAsia"/>
              </w:rPr>
              <w:t>10000</w:t>
            </w:r>
          </w:p>
          <w:p>
            <w:pPr>
              <w:jc w:val="center"/>
            </w:pPr>
            <w:r>
              <w:rPr>
                <w:rFonts w:hint="eastAsia"/>
              </w:rPr>
              <w:t>(H)mm</w:t>
            </w:r>
          </w:p>
        </w:tc>
        <w:tc>
          <w:tcPr>
            <w:tcW w:w="1594" w:type="dxa"/>
            <w:vAlign w:val="center"/>
          </w:tcPr>
          <w:p>
            <w:pPr>
              <w:jc w:val="center"/>
            </w:pPr>
            <w:r>
              <w:rPr>
                <w:rFonts w:hint="eastAsia"/>
              </w:rPr>
              <w:t>容器：</w:t>
            </w:r>
          </w:p>
          <w:p>
            <w:pPr>
              <w:jc w:val="center"/>
            </w:pPr>
            <w:r>
              <w:rPr>
                <w:rFonts w:hint="eastAsia"/>
              </w:rPr>
              <w:t>20~120/180</w:t>
            </w:r>
          </w:p>
          <w:p>
            <w:pPr>
              <w:jc w:val="center"/>
            </w:pPr>
            <w:r>
              <w:rPr>
                <w:rFonts w:hint="eastAsia"/>
              </w:rPr>
              <w:t>夹套：25</w:t>
            </w:r>
          </w:p>
        </w:tc>
        <w:tc>
          <w:tcPr>
            <w:tcW w:w="1949" w:type="dxa"/>
            <w:vAlign w:val="center"/>
          </w:tcPr>
          <w:p>
            <w:pPr>
              <w:jc w:val="center"/>
            </w:pPr>
            <w:r>
              <w:rPr>
                <w:rFonts w:hint="eastAsia"/>
              </w:rPr>
              <w:t>容器：0.06～</w:t>
            </w:r>
          </w:p>
          <w:p>
            <w:pPr>
              <w:jc w:val="center"/>
            </w:pPr>
            <w:r>
              <w:rPr>
                <w:rFonts w:hint="eastAsia"/>
              </w:rPr>
              <w:t>0.08</w:t>
            </w:r>
            <w:r>
              <w:rPr>
                <w:rFonts w:hint="eastAsia"/>
                <w:lang w:val="en-US" w:eastAsia="zh-CN"/>
              </w:rPr>
              <w:t>/</w:t>
            </w:r>
            <w:r>
              <w:rPr>
                <w:rFonts w:hint="eastAsia"/>
              </w:rPr>
              <w:t>0.1；夹</w:t>
            </w:r>
          </w:p>
          <w:p>
            <w:pPr>
              <w:jc w:val="center"/>
            </w:pPr>
            <w:r>
              <w:rPr>
                <w:rFonts w:hint="eastAsia"/>
              </w:rPr>
              <w:t>套：0.4</w:t>
            </w:r>
            <w:r>
              <w:rPr>
                <w:rFonts w:hint="eastAsia"/>
                <w:lang w:val="en-US" w:eastAsia="zh-CN"/>
              </w:rPr>
              <w:t>/</w:t>
            </w:r>
            <w:r>
              <w:rPr>
                <w:rFonts w:hint="eastAsia"/>
              </w:rPr>
              <w:t>0.5</w:t>
            </w:r>
          </w:p>
        </w:tc>
        <w:tc>
          <w:tcPr>
            <w:tcW w:w="1524" w:type="dxa"/>
            <w:vAlign w:val="center"/>
          </w:tcPr>
          <w:p>
            <w:pPr>
              <w:jc w:val="center"/>
            </w:pPr>
            <w:r>
              <w:rPr>
                <w:rFonts w:hint="eastAsia"/>
              </w:rPr>
              <w:t>容器：氯气、氯化石蜡、氯化氢</w:t>
            </w:r>
          </w:p>
          <w:p>
            <w:pPr>
              <w:jc w:val="center"/>
            </w:pPr>
            <w:r>
              <w:rPr>
                <w:rFonts w:hint="eastAsia"/>
              </w:rPr>
              <w:t>夹套：循环水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55</w:t>
            </w:r>
          </w:p>
        </w:tc>
        <w:tc>
          <w:tcPr>
            <w:tcW w:w="1404" w:type="dxa"/>
            <w:vAlign w:val="center"/>
          </w:tcPr>
          <w:p>
            <w:pPr>
              <w:jc w:val="center"/>
            </w:pPr>
            <w:r>
              <w:rPr>
                <w:rFonts w:hint="eastAsia"/>
              </w:rPr>
              <w:t>七级氯化塔</w:t>
            </w:r>
          </w:p>
        </w:tc>
        <w:tc>
          <w:tcPr>
            <w:tcW w:w="1086" w:type="dxa"/>
            <w:vAlign w:val="center"/>
          </w:tcPr>
          <w:p>
            <w:pPr>
              <w:jc w:val="center"/>
            </w:pPr>
            <w:r>
              <w:rPr>
                <w:rFonts w:hint="eastAsia"/>
              </w:rPr>
              <w:t>CS＋搪瓷</w:t>
            </w:r>
          </w:p>
        </w:tc>
        <w:tc>
          <w:tcPr>
            <w:tcW w:w="1028" w:type="dxa"/>
            <w:vAlign w:val="center"/>
          </w:tcPr>
          <w:p>
            <w:pPr>
              <w:jc w:val="center"/>
            </w:pPr>
            <w:r>
              <w:rPr>
                <w:rFonts w:hint="eastAsia"/>
              </w:rPr>
              <w:t>8</w:t>
            </w:r>
          </w:p>
        </w:tc>
        <w:tc>
          <w:tcPr>
            <w:tcW w:w="1819" w:type="dxa"/>
            <w:vAlign w:val="center"/>
          </w:tcPr>
          <w:p>
            <w:pPr>
              <w:jc w:val="center"/>
            </w:pPr>
            <w:r>
              <w:rPr>
                <w:rFonts w:hint="eastAsia"/>
              </w:rPr>
              <w:t>DN1000</w:t>
            </w:r>
            <w:r>
              <w:rPr>
                <w:rFonts w:ascii="Arial" w:hAnsi="Arial" w:cs="Arial"/>
              </w:rPr>
              <w:t>×</w:t>
            </w:r>
            <w:r>
              <w:rPr>
                <w:rFonts w:hint="eastAsia"/>
              </w:rPr>
              <w:t>10000</w:t>
            </w:r>
          </w:p>
          <w:p>
            <w:pPr>
              <w:jc w:val="center"/>
            </w:pPr>
            <w:r>
              <w:rPr>
                <w:rFonts w:hint="eastAsia"/>
              </w:rPr>
              <w:t>(H)mm</w:t>
            </w:r>
          </w:p>
        </w:tc>
        <w:tc>
          <w:tcPr>
            <w:tcW w:w="1594" w:type="dxa"/>
            <w:vAlign w:val="center"/>
          </w:tcPr>
          <w:p>
            <w:pPr>
              <w:jc w:val="center"/>
            </w:pPr>
            <w:r>
              <w:rPr>
                <w:rFonts w:hint="eastAsia"/>
              </w:rPr>
              <w:t>容器：</w:t>
            </w:r>
          </w:p>
          <w:p>
            <w:pPr>
              <w:jc w:val="center"/>
            </w:pPr>
            <w:r>
              <w:rPr>
                <w:rFonts w:hint="eastAsia"/>
              </w:rPr>
              <w:t>20~120/180</w:t>
            </w:r>
          </w:p>
          <w:p>
            <w:pPr>
              <w:jc w:val="center"/>
            </w:pPr>
            <w:r>
              <w:rPr>
                <w:rFonts w:hint="eastAsia"/>
              </w:rPr>
              <w:t>夹套：25</w:t>
            </w:r>
          </w:p>
        </w:tc>
        <w:tc>
          <w:tcPr>
            <w:tcW w:w="1949" w:type="dxa"/>
            <w:vAlign w:val="center"/>
          </w:tcPr>
          <w:p>
            <w:pPr>
              <w:jc w:val="center"/>
            </w:pPr>
            <w:r>
              <w:rPr>
                <w:rFonts w:hint="eastAsia"/>
              </w:rPr>
              <w:t>容器：0.06～</w:t>
            </w:r>
          </w:p>
          <w:p>
            <w:pPr>
              <w:jc w:val="center"/>
            </w:pPr>
            <w:r>
              <w:rPr>
                <w:rFonts w:hint="eastAsia"/>
              </w:rPr>
              <w:t>0.08</w:t>
            </w:r>
            <w:r>
              <w:rPr>
                <w:rFonts w:hint="eastAsia"/>
                <w:lang w:val="en-US" w:eastAsia="zh-CN"/>
              </w:rPr>
              <w:t>/</w:t>
            </w:r>
            <w:r>
              <w:rPr>
                <w:rFonts w:hint="eastAsia"/>
              </w:rPr>
              <w:t>0.1：夹</w:t>
            </w:r>
          </w:p>
          <w:p>
            <w:pPr>
              <w:jc w:val="center"/>
            </w:pPr>
            <w:r>
              <w:rPr>
                <w:rFonts w:hint="eastAsia"/>
              </w:rPr>
              <w:t>套：0.4</w:t>
            </w:r>
            <w:r>
              <w:rPr>
                <w:rFonts w:hint="eastAsia"/>
                <w:lang w:val="en-US" w:eastAsia="zh-CN"/>
              </w:rPr>
              <w:t>/</w:t>
            </w:r>
            <w:r>
              <w:rPr>
                <w:rFonts w:hint="eastAsia"/>
              </w:rPr>
              <w:t>0.5</w:t>
            </w:r>
          </w:p>
        </w:tc>
        <w:tc>
          <w:tcPr>
            <w:tcW w:w="1524" w:type="dxa"/>
            <w:vAlign w:val="center"/>
          </w:tcPr>
          <w:p>
            <w:pPr>
              <w:jc w:val="center"/>
            </w:pPr>
            <w:r>
              <w:rPr>
                <w:rFonts w:hint="eastAsia"/>
              </w:rPr>
              <w:t>容器：氯气、氯化石蜡、氯化氢</w:t>
            </w:r>
          </w:p>
          <w:p>
            <w:pPr>
              <w:jc w:val="center"/>
            </w:pPr>
            <w:r>
              <w:rPr>
                <w:rFonts w:hint="eastAsia"/>
              </w:rPr>
              <w:t>夹套：循环水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56</w:t>
            </w:r>
          </w:p>
        </w:tc>
        <w:tc>
          <w:tcPr>
            <w:tcW w:w="1404" w:type="dxa"/>
            <w:vAlign w:val="center"/>
          </w:tcPr>
          <w:p>
            <w:pPr>
              <w:jc w:val="center"/>
            </w:pPr>
            <w:r>
              <w:rPr>
                <w:rFonts w:hint="eastAsia"/>
              </w:rPr>
              <w:t>1＃精制吹风塔</w:t>
            </w:r>
          </w:p>
        </w:tc>
        <w:tc>
          <w:tcPr>
            <w:tcW w:w="1086" w:type="dxa"/>
            <w:vAlign w:val="center"/>
          </w:tcPr>
          <w:p>
            <w:pPr>
              <w:jc w:val="center"/>
            </w:pPr>
            <w:r>
              <w:rPr>
                <w:rFonts w:hint="eastAsia"/>
              </w:rPr>
              <w:t>CS＋搪瓷</w:t>
            </w:r>
          </w:p>
        </w:tc>
        <w:tc>
          <w:tcPr>
            <w:tcW w:w="1028" w:type="dxa"/>
            <w:vAlign w:val="center"/>
          </w:tcPr>
          <w:p>
            <w:pPr>
              <w:jc w:val="center"/>
            </w:pPr>
            <w:r>
              <w:rPr>
                <w:rFonts w:hint="eastAsia"/>
              </w:rPr>
              <w:t>8</w:t>
            </w:r>
          </w:p>
        </w:tc>
        <w:tc>
          <w:tcPr>
            <w:tcW w:w="1819" w:type="dxa"/>
            <w:vAlign w:val="center"/>
          </w:tcPr>
          <w:p>
            <w:pPr>
              <w:jc w:val="center"/>
            </w:pPr>
            <w:r>
              <w:rPr>
                <w:rFonts w:hint="eastAsia"/>
              </w:rPr>
              <w:t>DN1000</w:t>
            </w:r>
            <w:r>
              <w:rPr>
                <w:rFonts w:ascii="Arial" w:hAnsi="Arial" w:cs="Arial"/>
              </w:rPr>
              <w:t>×</w:t>
            </w:r>
            <w:r>
              <w:rPr>
                <w:rFonts w:hint="eastAsia"/>
              </w:rPr>
              <w:t>10000</w:t>
            </w:r>
          </w:p>
          <w:p>
            <w:pPr>
              <w:jc w:val="center"/>
            </w:pPr>
            <w:r>
              <w:rPr>
                <w:rFonts w:hint="eastAsia"/>
              </w:rPr>
              <w:t>(H)mm</w:t>
            </w:r>
          </w:p>
        </w:tc>
        <w:tc>
          <w:tcPr>
            <w:tcW w:w="1594" w:type="dxa"/>
            <w:vAlign w:val="center"/>
          </w:tcPr>
          <w:p>
            <w:pPr>
              <w:jc w:val="center"/>
            </w:pPr>
            <w:r>
              <w:rPr>
                <w:rFonts w:hint="eastAsia"/>
              </w:rPr>
              <w:t>容器：</w:t>
            </w:r>
          </w:p>
          <w:p>
            <w:pPr>
              <w:jc w:val="center"/>
            </w:pPr>
            <w:r>
              <w:rPr>
                <w:rFonts w:hint="eastAsia"/>
              </w:rPr>
              <w:t>20~120'180</w:t>
            </w:r>
          </w:p>
          <w:p>
            <w:pPr>
              <w:jc w:val="center"/>
            </w:pPr>
            <w:r>
              <w:rPr>
                <w:rFonts w:hint="eastAsia"/>
              </w:rPr>
              <w:t>夹套：25</w:t>
            </w:r>
          </w:p>
        </w:tc>
        <w:tc>
          <w:tcPr>
            <w:tcW w:w="1949" w:type="dxa"/>
            <w:vAlign w:val="center"/>
          </w:tcPr>
          <w:p>
            <w:pPr>
              <w:jc w:val="center"/>
            </w:pPr>
            <w:r>
              <w:rPr>
                <w:rFonts w:hint="eastAsia"/>
              </w:rPr>
              <w:t>容器：0.06～</w:t>
            </w:r>
          </w:p>
          <w:p>
            <w:pPr>
              <w:jc w:val="center"/>
            </w:pPr>
            <w:r>
              <w:rPr>
                <w:rFonts w:hint="eastAsia"/>
              </w:rPr>
              <w:t>0.08</w:t>
            </w:r>
            <w:r>
              <w:rPr>
                <w:rFonts w:hint="eastAsia"/>
                <w:lang w:val="en-US" w:eastAsia="zh-CN"/>
              </w:rPr>
              <w:t>/</w:t>
            </w:r>
            <w:r>
              <w:rPr>
                <w:rFonts w:hint="eastAsia"/>
              </w:rPr>
              <w:t>0.1：夹</w:t>
            </w:r>
          </w:p>
          <w:p>
            <w:pPr>
              <w:jc w:val="center"/>
            </w:pPr>
            <w:r>
              <w:rPr>
                <w:rFonts w:hint="eastAsia"/>
              </w:rPr>
              <w:t>套：0.4</w:t>
            </w:r>
            <w:r>
              <w:rPr>
                <w:rFonts w:hint="eastAsia"/>
                <w:lang w:val="en-US" w:eastAsia="zh-CN"/>
              </w:rPr>
              <w:t>/</w:t>
            </w:r>
            <w:r>
              <w:rPr>
                <w:rFonts w:hint="eastAsia"/>
              </w:rPr>
              <w:t>0.5</w:t>
            </w:r>
          </w:p>
        </w:tc>
        <w:tc>
          <w:tcPr>
            <w:tcW w:w="1524" w:type="dxa"/>
            <w:vAlign w:val="center"/>
          </w:tcPr>
          <w:p>
            <w:pPr>
              <w:jc w:val="center"/>
            </w:pPr>
            <w:r>
              <w:rPr>
                <w:rFonts w:hint="eastAsia"/>
              </w:rPr>
              <w:t>容器：氮气、氯化石蜡、氯化氢</w:t>
            </w:r>
          </w:p>
          <w:p>
            <w:pPr>
              <w:jc w:val="center"/>
            </w:pPr>
            <w:r>
              <w:rPr>
                <w:rFonts w:hint="eastAsia"/>
              </w:rPr>
              <w:t>夹套：循环水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57</w:t>
            </w:r>
          </w:p>
        </w:tc>
        <w:tc>
          <w:tcPr>
            <w:tcW w:w="1404" w:type="dxa"/>
            <w:vAlign w:val="center"/>
          </w:tcPr>
          <w:p>
            <w:pPr>
              <w:jc w:val="center"/>
            </w:pPr>
            <w:r>
              <w:rPr>
                <w:rFonts w:hint="eastAsia"/>
              </w:rPr>
              <w:t>2＃精制吹风塔</w:t>
            </w:r>
          </w:p>
        </w:tc>
        <w:tc>
          <w:tcPr>
            <w:tcW w:w="1086" w:type="dxa"/>
            <w:vAlign w:val="center"/>
          </w:tcPr>
          <w:p>
            <w:pPr>
              <w:jc w:val="center"/>
            </w:pPr>
            <w:r>
              <w:rPr>
                <w:rFonts w:hint="eastAsia"/>
              </w:rPr>
              <w:t>CS＋搪瓷</w:t>
            </w:r>
          </w:p>
        </w:tc>
        <w:tc>
          <w:tcPr>
            <w:tcW w:w="1028" w:type="dxa"/>
            <w:vAlign w:val="center"/>
          </w:tcPr>
          <w:p>
            <w:pPr>
              <w:jc w:val="center"/>
            </w:pPr>
            <w:r>
              <w:rPr>
                <w:rFonts w:hint="eastAsia"/>
              </w:rPr>
              <w:t>8</w:t>
            </w:r>
          </w:p>
        </w:tc>
        <w:tc>
          <w:tcPr>
            <w:tcW w:w="1819" w:type="dxa"/>
            <w:vAlign w:val="center"/>
          </w:tcPr>
          <w:p>
            <w:pPr>
              <w:jc w:val="center"/>
            </w:pPr>
            <w:r>
              <w:rPr>
                <w:rFonts w:hint="eastAsia"/>
              </w:rPr>
              <w:t>DN1000</w:t>
            </w:r>
            <w:r>
              <w:rPr>
                <w:rFonts w:ascii="Arial" w:hAnsi="Arial" w:cs="Arial"/>
              </w:rPr>
              <w:t>×</w:t>
            </w:r>
            <w:r>
              <w:rPr>
                <w:rFonts w:hint="eastAsia"/>
              </w:rPr>
              <w:t>10000</w:t>
            </w:r>
          </w:p>
          <w:p>
            <w:pPr>
              <w:jc w:val="center"/>
            </w:pPr>
            <w:r>
              <w:rPr>
                <w:rFonts w:hint="eastAsia"/>
              </w:rPr>
              <w:t>(H)mm</w:t>
            </w:r>
          </w:p>
        </w:tc>
        <w:tc>
          <w:tcPr>
            <w:tcW w:w="1594" w:type="dxa"/>
            <w:vAlign w:val="center"/>
          </w:tcPr>
          <w:p>
            <w:pPr>
              <w:jc w:val="center"/>
            </w:pPr>
            <w:r>
              <w:rPr>
                <w:rFonts w:hint="eastAsia"/>
              </w:rPr>
              <w:t>容器：</w:t>
            </w:r>
          </w:p>
          <w:p>
            <w:pPr>
              <w:jc w:val="center"/>
            </w:pPr>
            <w:r>
              <w:rPr>
                <w:rFonts w:hint="eastAsia"/>
              </w:rPr>
              <w:t>20~120/180</w:t>
            </w:r>
          </w:p>
          <w:p>
            <w:pPr>
              <w:jc w:val="center"/>
            </w:pPr>
            <w:r>
              <w:rPr>
                <w:rFonts w:hint="eastAsia"/>
              </w:rPr>
              <w:t>夹套：25</w:t>
            </w:r>
          </w:p>
        </w:tc>
        <w:tc>
          <w:tcPr>
            <w:tcW w:w="1949" w:type="dxa"/>
            <w:vAlign w:val="center"/>
          </w:tcPr>
          <w:p>
            <w:pPr>
              <w:jc w:val="center"/>
            </w:pPr>
            <w:r>
              <w:rPr>
                <w:rFonts w:hint="eastAsia"/>
              </w:rPr>
              <w:t>容器：0.06～</w:t>
            </w:r>
          </w:p>
          <w:p>
            <w:pPr>
              <w:jc w:val="center"/>
            </w:pPr>
            <w:r>
              <w:rPr>
                <w:rFonts w:hint="eastAsia"/>
              </w:rPr>
              <w:t>0.080.1：夹</w:t>
            </w:r>
          </w:p>
          <w:p>
            <w:pPr>
              <w:jc w:val="center"/>
            </w:pPr>
            <w:r>
              <w:rPr>
                <w:rFonts w:hint="eastAsia"/>
              </w:rPr>
              <w:t>套：0.4</w:t>
            </w:r>
            <w:r>
              <w:rPr>
                <w:rFonts w:hint="eastAsia"/>
                <w:lang w:val="en-US" w:eastAsia="zh-CN"/>
              </w:rPr>
              <w:t>/</w:t>
            </w:r>
            <w:r>
              <w:rPr>
                <w:rFonts w:hint="eastAsia"/>
              </w:rPr>
              <w:t>0.5</w:t>
            </w:r>
          </w:p>
        </w:tc>
        <w:tc>
          <w:tcPr>
            <w:tcW w:w="1524" w:type="dxa"/>
            <w:vAlign w:val="center"/>
          </w:tcPr>
          <w:p>
            <w:pPr>
              <w:jc w:val="center"/>
            </w:pPr>
            <w:r>
              <w:rPr>
                <w:rFonts w:hint="eastAsia"/>
              </w:rPr>
              <w:t>容器：氨气、氯化石蜡、氯化氢</w:t>
            </w:r>
          </w:p>
          <w:p>
            <w:pPr>
              <w:jc w:val="center"/>
            </w:pPr>
            <w:r>
              <w:rPr>
                <w:rFonts w:hint="eastAsia"/>
              </w:rPr>
              <w:t>夹套：循环水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58</w:t>
            </w:r>
          </w:p>
        </w:tc>
        <w:tc>
          <w:tcPr>
            <w:tcW w:w="1404" w:type="dxa"/>
            <w:vAlign w:val="center"/>
          </w:tcPr>
          <w:p>
            <w:pPr>
              <w:jc w:val="center"/>
            </w:pPr>
            <w:r>
              <w:rPr>
                <w:rFonts w:hint="eastAsia"/>
              </w:rPr>
              <w:t>3＃精制吹风塔</w:t>
            </w:r>
          </w:p>
        </w:tc>
        <w:tc>
          <w:tcPr>
            <w:tcW w:w="1086" w:type="dxa"/>
            <w:vAlign w:val="center"/>
          </w:tcPr>
          <w:p>
            <w:pPr>
              <w:jc w:val="center"/>
            </w:pPr>
            <w:r>
              <w:rPr>
                <w:rFonts w:hint="eastAsia"/>
              </w:rPr>
              <w:t>CS＋搪瓷</w:t>
            </w:r>
          </w:p>
        </w:tc>
        <w:tc>
          <w:tcPr>
            <w:tcW w:w="1028" w:type="dxa"/>
            <w:vAlign w:val="center"/>
          </w:tcPr>
          <w:p>
            <w:pPr>
              <w:jc w:val="center"/>
            </w:pPr>
            <w:r>
              <w:rPr>
                <w:rFonts w:hint="eastAsia"/>
              </w:rPr>
              <w:t>8</w:t>
            </w:r>
          </w:p>
        </w:tc>
        <w:tc>
          <w:tcPr>
            <w:tcW w:w="1819" w:type="dxa"/>
            <w:vAlign w:val="center"/>
          </w:tcPr>
          <w:p>
            <w:pPr>
              <w:jc w:val="center"/>
            </w:pPr>
            <w:r>
              <w:rPr>
                <w:rFonts w:hint="eastAsia"/>
              </w:rPr>
              <w:t>DN1000</w:t>
            </w:r>
            <w:r>
              <w:rPr>
                <w:rFonts w:ascii="Arial" w:hAnsi="Arial" w:cs="Arial"/>
              </w:rPr>
              <w:t>×</w:t>
            </w:r>
            <w:r>
              <w:rPr>
                <w:rFonts w:hint="eastAsia"/>
              </w:rPr>
              <w:t>10000</w:t>
            </w:r>
          </w:p>
          <w:p>
            <w:pPr>
              <w:jc w:val="center"/>
            </w:pPr>
            <w:r>
              <w:rPr>
                <w:rFonts w:hint="eastAsia"/>
              </w:rPr>
              <w:t>(H)mm</w:t>
            </w:r>
          </w:p>
        </w:tc>
        <w:tc>
          <w:tcPr>
            <w:tcW w:w="1594" w:type="dxa"/>
            <w:vAlign w:val="center"/>
          </w:tcPr>
          <w:p>
            <w:pPr>
              <w:jc w:val="center"/>
            </w:pPr>
            <w:r>
              <w:rPr>
                <w:rFonts w:hint="eastAsia"/>
              </w:rPr>
              <w:t>容器：</w:t>
            </w:r>
          </w:p>
          <w:p>
            <w:pPr>
              <w:jc w:val="center"/>
            </w:pPr>
            <w:r>
              <w:rPr>
                <w:rFonts w:hint="eastAsia"/>
              </w:rPr>
              <w:t>20~120/180</w:t>
            </w:r>
          </w:p>
          <w:p>
            <w:pPr>
              <w:jc w:val="center"/>
            </w:pPr>
            <w:r>
              <w:rPr>
                <w:rFonts w:hint="eastAsia"/>
              </w:rPr>
              <w:t>夹套：25</w:t>
            </w:r>
          </w:p>
        </w:tc>
        <w:tc>
          <w:tcPr>
            <w:tcW w:w="1949" w:type="dxa"/>
            <w:vAlign w:val="center"/>
          </w:tcPr>
          <w:p>
            <w:pPr>
              <w:jc w:val="center"/>
            </w:pPr>
            <w:r>
              <w:rPr>
                <w:rFonts w:hint="eastAsia"/>
              </w:rPr>
              <w:t>容器：0.06～</w:t>
            </w:r>
          </w:p>
          <w:p>
            <w:pPr>
              <w:jc w:val="center"/>
            </w:pPr>
            <w:r>
              <w:rPr>
                <w:rFonts w:hint="eastAsia"/>
              </w:rPr>
              <w:t>0.08.0.1：夹</w:t>
            </w:r>
          </w:p>
          <w:p>
            <w:pPr>
              <w:jc w:val="center"/>
            </w:pPr>
            <w:r>
              <w:rPr>
                <w:rFonts w:hint="eastAsia"/>
              </w:rPr>
              <w:t>套：0.4</w:t>
            </w:r>
            <w:r>
              <w:rPr>
                <w:rFonts w:hint="eastAsia"/>
                <w:lang w:val="en-US" w:eastAsia="zh-CN"/>
              </w:rPr>
              <w:t>/</w:t>
            </w:r>
            <w:r>
              <w:rPr>
                <w:rFonts w:hint="eastAsia"/>
              </w:rPr>
              <w:t>0.5</w:t>
            </w:r>
          </w:p>
        </w:tc>
        <w:tc>
          <w:tcPr>
            <w:tcW w:w="1524" w:type="dxa"/>
            <w:vAlign w:val="center"/>
          </w:tcPr>
          <w:p>
            <w:pPr>
              <w:jc w:val="center"/>
            </w:pPr>
            <w:r>
              <w:rPr>
                <w:rFonts w:hint="eastAsia"/>
              </w:rPr>
              <w:t>容器：氨气、氯化石蜡、氯化氢</w:t>
            </w:r>
          </w:p>
          <w:p>
            <w:pPr>
              <w:jc w:val="center"/>
            </w:pPr>
            <w:r>
              <w:rPr>
                <w:rFonts w:hint="eastAsia"/>
              </w:rPr>
              <w:t>夹套：循环水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59</w:t>
            </w:r>
          </w:p>
        </w:tc>
        <w:tc>
          <w:tcPr>
            <w:tcW w:w="1404" w:type="dxa"/>
            <w:vAlign w:val="center"/>
          </w:tcPr>
          <w:p>
            <w:pPr>
              <w:jc w:val="center"/>
            </w:pPr>
            <w:r>
              <w:rPr>
                <w:rFonts w:hint="eastAsia"/>
              </w:rPr>
              <w:t>精制填料吸收塔</w:t>
            </w:r>
          </w:p>
        </w:tc>
        <w:tc>
          <w:tcPr>
            <w:tcW w:w="1086" w:type="dxa"/>
            <w:vAlign w:val="center"/>
          </w:tcPr>
          <w:p>
            <w:pPr>
              <w:jc w:val="center"/>
            </w:pPr>
            <w:r>
              <w:rPr>
                <w:rFonts w:hint="eastAsia"/>
              </w:rPr>
              <w:t>碳钢＋石</w:t>
            </w:r>
          </w:p>
          <w:p>
            <w:pPr>
              <w:jc w:val="center"/>
            </w:pPr>
            <w:r>
              <w:rPr>
                <w:rFonts w:hint="eastAsia"/>
              </w:rPr>
              <w:t>墨</w:t>
            </w:r>
          </w:p>
        </w:tc>
        <w:tc>
          <w:tcPr>
            <w:tcW w:w="1028" w:type="dxa"/>
            <w:vAlign w:val="center"/>
          </w:tcPr>
          <w:p>
            <w:pPr>
              <w:jc w:val="center"/>
            </w:pPr>
            <w:r>
              <w:rPr>
                <w:rFonts w:hint="eastAsia"/>
              </w:rPr>
              <w:t>2</w:t>
            </w:r>
          </w:p>
        </w:tc>
        <w:tc>
          <w:tcPr>
            <w:tcW w:w="1819" w:type="dxa"/>
            <w:vAlign w:val="center"/>
          </w:tcPr>
          <w:p>
            <w:pPr>
              <w:jc w:val="center"/>
            </w:pPr>
            <w:r>
              <w:rPr>
                <w:rFonts w:hint="eastAsia"/>
              </w:rPr>
              <w:t>DN600</w:t>
            </w:r>
            <w:r>
              <w:rPr>
                <w:rFonts w:ascii="Arial" w:hAnsi="Arial" w:cs="Arial"/>
              </w:rPr>
              <w:t>×</w:t>
            </w:r>
            <w:r>
              <w:rPr>
                <w:rFonts w:hint="eastAsia"/>
              </w:rPr>
              <w:t>5000</w:t>
            </w:r>
          </w:p>
          <w:p>
            <w:pPr>
              <w:jc w:val="center"/>
            </w:pPr>
            <w:r>
              <w:rPr>
                <w:rFonts w:hint="eastAsia"/>
              </w:rPr>
              <w:t>(H)mm</w:t>
            </w:r>
          </w:p>
        </w:tc>
        <w:tc>
          <w:tcPr>
            <w:tcW w:w="1594" w:type="dxa"/>
            <w:vAlign w:val="center"/>
          </w:tcPr>
          <w:p>
            <w:pPr>
              <w:jc w:val="center"/>
            </w:pPr>
            <w:r>
              <w:rPr>
                <w:rFonts w:hint="eastAsia"/>
              </w:rPr>
              <w:t>80/140</w:t>
            </w:r>
          </w:p>
        </w:tc>
        <w:tc>
          <w:tcPr>
            <w:tcW w:w="1949" w:type="dxa"/>
            <w:vAlign w:val="center"/>
          </w:tcPr>
          <w:p>
            <w:pPr>
              <w:jc w:val="center"/>
            </w:pPr>
            <w:r>
              <w:rPr>
                <w:rFonts w:hint="eastAsia"/>
              </w:rPr>
              <w:t>0.08/0.1</w:t>
            </w:r>
          </w:p>
        </w:tc>
        <w:tc>
          <w:tcPr>
            <w:tcW w:w="1524" w:type="dxa"/>
            <w:vAlign w:val="center"/>
          </w:tcPr>
          <w:p>
            <w:pPr>
              <w:jc w:val="center"/>
            </w:pPr>
            <w:r>
              <w:rPr>
                <w:rFonts w:hint="eastAsia"/>
              </w:rPr>
              <w:t>氮气、氯化石</w:t>
            </w:r>
          </w:p>
          <w:p>
            <w:pPr>
              <w:jc w:val="center"/>
            </w:pPr>
            <w:r>
              <w:rPr>
                <w:rFonts w:hint="eastAsia"/>
              </w:rPr>
              <w:t>蜡、氯化氢</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60</w:t>
            </w:r>
          </w:p>
        </w:tc>
        <w:tc>
          <w:tcPr>
            <w:tcW w:w="1404" w:type="dxa"/>
            <w:vAlign w:val="center"/>
          </w:tcPr>
          <w:p>
            <w:pPr>
              <w:jc w:val="center"/>
            </w:pPr>
            <w:r>
              <w:rPr>
                <w:rFonts w:hint="eastAsia"/>
              </w:rPr>
              <w:t>尾气填料吸收塔</w:t>
            </w:r>
          </w:p>
        </w:tc>
        <w:tc>
          <w:tcPr>
            <w:tcW w:w="1086" w:type="dxa"/>
            <w:vAlign w:val="center"/>
          </w:tcPr>
          <w:p>
            <w:pPr>
              <w:jc w:val="center"/>
            </w:pPr>
            <w:r>
              <w:rPr>
                <w:rFonts w:hint="eastAsia"/>
              </w:rPr>
              <w:t>碳钢＋石</w:t>
            </w:r>
          </w:p>
          <w:p>
            <w:pPr>
              <w:jc w:val="center"/>
            </w:pPr>
            <w:r>
              <w:rPr>
                <w:rFonts w:hint="eastAsia"/>
              </w:rPr>
              <w:t>墨</w:t>
            </w:r>
          </w:p>
        </w:tc>
        <w:tc>
          <w:tcPr>
            <w:tcW w:w="1028" w:type="dxa"/>
            <w:vAlign w:val="center"/>
          </w:tcPr>
          <w:p>
            <w:pPr>
              <w:jc w:val="center"/>
            </w:pPr>
            <w:r>
              <w:rPr>
                <w:rFonts w:hint="eastAsia"/>
              </w:rPr>
              <w:t>2</w:t>
            </w:r>
          </w:p>
        </w:tc>
        <w:tc>
          <w:tcPr>
            <w:tcW w:w="1819" w:type="dxa"/>
            <w:vAlign w:val="center"/>
          </w:tcPr>
          <w:p>
            <w:pPr>
              <w:jc w:val="center"/>
            </w:pPr>
            <w:r>
              <w:rPr>
                <w:rFonts w:hint="eastAsia"/>
              </w:rPr>
              <w:t>DN500</w:t>
            </w:r>
            <w:r>
              <w:rPr>
                <w:rFonts w:ascii="Arial" w:hAnsi="Arial" w:cs="Arial"/>
              </w:rPr>
              <w:t>×</w:t>
            </w:r>
            <w:r>
              <w:rPr>
                <w:rFonts w:hint="eastAsia"/>
              </w:rPr>
              <w:t>5000</w:t>
            </w:r>
          </w:p>
          <w:p>
            <w:pPr>
              <w:jc w:val="center"/>
            </w:pPr>
            <w:r>
              <w:rPr>
                <w:rFonts w:hint="eastAsia"/>
              </w:rPr>
              <w:t>(H)mm</w:t>
            </w:r>
          </w:p>
        </w:tc>
        <w:tc>
          <w:tcPr>
            <w:tcW w:w="1594" w:type="dxa"/>
            <w:vAlign w:val="center"/>
          </w:tcPr>
          <w:p>
            <w:pPr>
              <w:jc w:val="center"/>
            </w:pPr>
            <w:r>
              <w:rPr>
                <w:rFonts w:hint="eastAsia"/>
              </w:rPr>
              <w:t>80/140</w:t>
            </w:r>
          </w:p>
        </w:tc>
        <w:tc>
          <w:tcPr>
            <w:tcW w:w="1949" w:type="dxa"/>
            <w:vAlign w:val="center"/>
          </w:tcPr>
          <w:p>
            <w:pPr>
              <w:jc w:val="center"/>
            </w:pPr>
            <w:r>
              <w:rPr>
                <w:rFonts w:hint="eastAsia"/>
              </w:rPr>
              <w:t>0.08/0.1</w:t>
            </w:r>
          </w:p>
        </w:tc>
        <w:tc>
          <w:tcPr>
            <w:tcW w:w="1524" w:type="dxa"/>
            <w:vAlign w:val="center"/>
          </w:tcPr>
          <w:p>
            <w:pPr>
              <w:jc w:val="center"/>
            </w:pPr>
            <w:r>
              <w:rPr>
                <w:rFonts w:hint="eastAsia"/>
              </w:rPr>
              <w:t>氮气、氯化石</w:t>
            </w:r>
          </w:p>
          <w:p>
            <w:pPr>
              <w:jc w:val="center"/>
            </w:pPr>
            <w:r>
              <w:rPr>
                <w:rFonts w:hint="eastAsia"/>
              </w:rPr>
              <w:t>蜡、氯化氢</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6" w:type="dxa"/>
            <w:gridSpan w:val="11"/>
            <w:vAlign w:val="center"/>
          </w:tcPr>
          <w:p>
            <w:pPr>
              <w:jc w:val="center"/>
            </w:pPr>
            <w:r>
              <w:rPr>
                <w:b/>
                <w:bCs/>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61</w:t>
            </w:r>
          </w:p>
        </w:tc>
        <w:tc>
          <w:tcPr>
            <w:tcW w:w="1404" w:type="dxa"/>
            <w:vAlign w:val="center"/>
          </w:tcPr>
          <w:p>
            <w:pPr>
              <w:jc w:val="center"/>
            </w:pPr>
            <w:r>
              <w:rPr>
                <w:rFonts w:hint="eastAsia"/>
              </w:rPr>
              <w:t>液氯汽化器</w:t>
            </w:r>
          </w:p>
        </w:tc>
        <w:tc>
          <w:tcPr>
            <w:tcW w:w="1086" w:type="dxa"/>
            <w:vAlign w:val="center"/>
          </w:tcPr>
          <w:p>
            <w:pPr>
              <w:jc w:val="center"/>
            </w:pPr>
            <w:r>
              <w:rPr>
                <w:rFonts w:hint="eastAsia"/>
              </w:rPr>
              <w:t>Q345E</w:t>
            </w:r>
          </w:p>
        </w:tc>
        <w:tc>
          <w:tcPr>
            <w:tcW w:w="1028" w:type="dxa"/>
            <w:vAlign w:val="center"/>
          </w:tcPr>
          <w:p>
            <w:pPr>
              <w:jc w:val="center"/>
            </w:pPr>
            <w:r>
              <w:rPr>
                <w:rFonts w:hint="eastAsia"/>
              </w:rPr>
              <w:t>1</w:t>
            </w:r>
          </w:p>
        </w:tc>
        <w:tc>
          <w:tcPr>
            <w:tcW w:w="1819" w:type="dxa"/>
            <w:vAlign w:val="center"/>
          </w:tcPr>
          <w:p>
            <w:pPr>
              <w:jc w:val="center"/>
            </w:pPr>
            <w:r>
              <w:rPr>
                <w:rFonts w:hint="eastAsia"/>
              </w:rPr>
              <w:t>F=50m</w:t>
            </w:r>
            <w:r>
              <w:rPr>
                <w:rFonts w:hint="eastAsia"/>
                <w:vertAlign w:val="superscript"/>
              </w:rPr>
              <w:t>2</w:t>
            </w:r>
          </w:p>
        </w:tc>
        <w:tc>
          <w:tcPr>
            <w:tcW w:w="1594" w:type="dxa"/>
            <w:vAlign w:val="center"/>
          </w:tcPr>
          <w:p>
            <w:r>
              <w:rPr>
                <w:rFonts w:hint="eastAsia"/>
              </w:rPr>
              <w:t>管程：-20</w:t>
            </w:r>
            <w:r>
              <w:rPr>
                <w:rFonts w:hint="eastAsia"/>
                <w:lang w:val="en-US" w:eastAsia="zh-CN"/>
              </w:rPr>
              <w:t>/</w:t>
            </w:r>
            <w:r>
              <w:rPr>
                <w:rFonts w:hint="eastAsia"/>
              </w:rPr>
              <w:t>-30壳程：60/120</w:t>
            </w:r>
          </w:p>
        </w:tc>
        <w:tc>
          <w:tcPr>
            <w:tcW w:w="1949" w:type="dxa"/>
          </w:tcPr>
          <w:p>
            <w:pPr>
              <w:jc w:val="center"/>
            </w:pPr>
            <w:r>
              <w:rPr>
                <w:rFonts w:hint="eastAsia"/>
              </w:rPr>
              <w:t>管程：0.3</w:t>
            </w:r>
            <w:r>
              <w:rPr>
                <w:rFonts w:hint="eastAsia"/>
                <w:lang w:val="en-US" w:eastAsia="zh-CN"/>
              </w:rPr>
              <w:t>/</w:t>
            </w:r>
            <w:r>
              <w:rPr>
                <w:rFonts w:hint="eastAsia"/>
              </w:rPr>
              <w:t>0.4</w:t>
            </w:r>
          </w:p>
          <w:p>
            <w:pPr>
              <w:jc w:val="center"/>
            </w:pPr>
            <w:r>
              <w:rPr>
                <w:rFonts w:hint="eastAsia"/>
              </w:rPr>
              <w:t>壳程：常压</w:t>
            </w:r>
          </w:p>
        </w:tc>
        <w:tc>
          <w:tcPr>
            <w:tcW w:w="1524" w:type="dxa"/>
          </w:tcPr>
          <w:p>
            <w:pPr>
              <w:jc w:val="center"/>
            </w:pPr>
            <w:r>
              <w:rPr>
                <w:rFonts w:hint="eastAsia"/>
              </w:rPr>
              <w:t>容器：液氯</w:t>
            </w:r>
          </w:p>
          <w:p>
            <w:pPr>
              <w:jc w:val="center"/>
            </w:pPr>
            <w:r>
              <w:rPr>
                <w:rFonts w:hint="eastAsia"/>
              </w:rPr>
              <w:t>夹套：热水</w:t>
            </w:r>
          </w:p>
        </w:tc>
        <w:tc>
          <w:tcPr>
            <w:tcW w:w="944" w:type="dxa"/>
            <w:vAlign w:val="center"/>
          </w:tcPr>
          <w:p>
            <w:pPr>
              <w:jc w:val="center"/>
            </w:pPr>
            <w:r>
              <w:rPr>
                <w:rFonts w:hint="eastAsia"/>
              </w:rPr>
              <w:t>新购</w:t>
            </w:r>
          </w:p>
        </w:tc>
        <w:tc>
          <w:tcPr>
            <w:tcW w:w="1131" w:type="dxa"/>
            <w:vAlign w:val="center"/>
          </w:tcPr>
          <w:p>
            <w:pPr>
              <w:jc w:val="center"/>
            </w:pPr>
            <w:r>
              <w:rPr>
                <w:rFonts w:hint="eastAsia"/>
              </w:rPr>
              <w:t>1</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62</w:t>
            </w:r>
          </w:p>
        </w:tc>
        <w:tc>
          <w:tcPr>
            <w:tcW w:w="1404" w:type="dxa"/>
            <w:vAlign w:val="center"/>
          </w:tcPr>
          <w:p>
            <w:pPr>
              <w:jc w:val="center"/>
            </w:pPr>
            <w:r>
              <w:rPr>
                <w:rFonts w:hint="eastAsia"/>
              </w:rPr>
              <w:t>氯化系统引风机</w:t>
            </w:r>
          </w:p>
        </w:tc>
        <w:tc>
          <w:tcPr>
            <w:tcW w:w="1086" w:type="dxa"/>
            <w:vAlign w:val="center"/>
          </w:tcPr>
          <w:p>
            <w:pPr>
              <w:jc w:val="center"/>
            </w:pPr>
            <w:r>
              <w:rPr>
                <w:rFonts w:hint="eastAsia"/>
              </w:rPr>
              <w:t>钛</w:t>
            </w:r>
          </w:p>
        </w:tc>
        <w:tc>
          <w:tcPr>
            <w:tcW w:w="1028" w:type="dxa"/>
            <w:vAlign w:val="center"/>
          </w:tcPr>
          <w:p>
            <w:pPr>
              <w:jc w:val="center"/>
            </w:pPr>
            <w:r>
              <w:rPr>
                <w:rFonts w:hint="eastAsia"/>
              </w:rPr>
              <w:t>2</w:t>
            </w:r>
          </w:p>
        </w:tc>
        <w:tc>
          <w:tcPr>
            <w:tcW w:w="1819" w:type="dxa"/>
            <w:vAlign w:val="center"/>
          </w:tcPr>
          <w:p>
            <w:pPr>
              <w:jc w:val="center"/>
            </w:pPr>
            <w:r>
              <w:rPr>
                <w:rFonts w:hint="eastAsia"/>
              </w:rPr>
              <w:t>风量：</w:t>
            </w:r>
          </w:p>
          <w:p>
            <w:pPr>
              <w:jc w:val="center"/>
            </w:pPr>
            <w:r>
              <w:rPr>
                <w:rFonts w:hint="eastAsia"/>
              </w:rPr>
              <w:t>1739~3285m</w:t>
            </w:r>
            <w:r>
              <w:rPr>
                <w:rFonts w:hint="eastAsia"/>
                <w:vertAlign w:val="superscript"/>
              </w:rPr>
              <w:t>3</w:t>
            </w:r>
            <w:r>
              <w:rPr>
                <w:rFonts w:hint="eastAsia"/>
              </w:rPr>
              <w:t>/h</w:t>
            </w:r>
          </w:p>
        </w:tc>
        <w:tc>
          <w:tcPr>
            <w:tcW w:w="1594" w:type="dxa"/>
            <w:vAlign w:val="center"/>
          </w:tcPr>
          <w:p>
            <w:pPr>
              <w:jc w:val="center"/>
            </w:pPr>
            <w:r>
              <w:rPr>
                <w:rFonts w:hint="eastAsia"/>
              </w:rPr>
              <w:t>30/60</w:t>
            </w:r>
          </w:p>
        </w:tc>
        <w:tc>
          <w:tcPr>
            <w:tcW w:w="1949" w:type="dxa"/>
            <w:vAlign w:val="center"/>
          </w:tcPr>
          <w:p>
            <w:pPr>
              <w:jc w:val="center"/>
            </w:pPr>
            <w:r>
              <w:rPr>
                <w:rFonts w:hint="eastAsia"/>
              </w:rPr>
              <w:t>-0.03/-0.06</w:t>
            </w:r>
          </w:p>
        </w:tc>
        <w:tc>
          <w:tcPr>
            <w:tcW w:w="1524" w:type="dxa"/>
            <w:vAlign w:val="center"/>
          </w:tcPr>
          <w:p>
            <w:pPr>
              <w:jc w:val="center"/>
            </w:pPr>
            <w:r>
              <w:rPr>
                <w:rFonts w:hint="eastAsia"/>
              </w:rPr>
              <w:t>空气、氯化氢</w:t>
            </w:r>
          </w:p>
        </w:tc>
        <w:tc>
          <w:tcPr>
            <w:tcW w:w="944" w:type="dxa"/>
            <w:vAlign w:val="center"/>
          </w:tcPr>
          <w:p>
            <w:pPr>
              <w:jc w:val="center"/>
            </w:pPr>
            <w:r>
              <w:rPr>
                <w:rFonts w:hint="eastAsia"/>
              </w:rPr>
              <w:t>依托</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63</w:t>
            </w:r>
          </w:p>
        </w:tc>
        <w:tc>
          <w:tcPr>
            <w:tcW w:w="1404" w:type="dxa"/>
            <w:vAlign w:val="center"/>
          </w:tcPr>
          <w:p>
            <w:pPr>
              <w:jc w:val="center"/>
            </w:pPr>
            <w:r>
              <w:rPr>
                <w:rFonts w:hint="eastAsia"/>
              </w:rPr>
              <w:t>吹风系统引风机</w:t>
            </w:r>
          </w:p>
        </w:tc>
        <w:tc>
          <w:tcPr>
            <w:tcW w:w="1086" w:type="dxa"/>
            <w:vAlign w:val="center"/>
          </w:tcPr>
          <w:p>
            <w:pPr>
              <w:jc w:val="center"/>
            </w:pPr>
            <w:r>
              <w:rPr>
                <w:rFonts w:hint="eastAsia"/>
              </w:rPr>
              <w:t>钛</w:t>
            </w:r>
          </w:p>
        </w:tc>
        <w:tc>
          <w:tcPr>
            <w:tcW w:w="1028" w:type="dxa"/>
            <w:vAlign w:val="center"/>
          </w:tcPr>
          <w:p>
            <w:pPr>
              <w:jc w:val="center"/>
            </w:pPr>
            <w:r>
              <w:rPr>
                <w:rFonts w:hint="eastAsia"/>
              </w:rPr>
              <w:t>2</w:t>
            </w:r>
          </w:p>
        </w:tc>
        <w:tc>
          <w:tcPr>
            <w:tcW w:w="1819" w:type="dxa"/>
            <w:vAlign w:val="center"/>
          </w:tcPr>
          <w:p>
            <w:pPr>
              <w:jc w:val="center"/>
            </w:pPr>
            <w:r>
              <w:rPr>
                <w:rFonts w:hint="eastAsia"/>
              </w:rPr>
              <w:t>风量：</w:t>
            </w:r>
          </w:p>
          <w:p>
            <w:pPr>
              <w:jc w:val="center"/>
            </w:pPr>
            <w:r>
              <w:rPr>
                <w:rFonts w:hint="eastAsia"/>
              </w:rPr>
              <w:t>2700~5000m</w:t>
            </w:r>
            <w:r>
              <w:rPr>
                <w:rFonts w:hint="eastAsia"/>
                <w:vertAlign w:val="superscript"/>
              </w:rPr>
              <w:t>3</w:t>
            </w:r>
            <w:r>
              <w:rPr>
                <w:rFonts w:hint="eastAsia"/>
              </w:rPr>
              <w:t>/h</w:t>
            </w:r>
          </w:p>
        </w:tc>
        <w:tc>
          <w:tcPr>
            <w:tcW w:w="1594" w:type="dxa"/>
            <w:vAlign w:val="center"/>
          </w:tcPr>
          <w:p>
            <w:pPr>
              <w:jc w:val="center"/>
            </w:pPr>
            <w:r>
              <w:rPr>
                <w:rFonts w:hint="eastAsia"/>
              </w:rPr>
              <w:t>30/60</w:t>
            </w:r>
          </w:p>
        </w:tc>
        <w:tc>
          <w:tcPr>
            <w:tcW w:w="1949" w:type="dxa"/>
            <w:vAlign w:val="center"/>
          </w:tcPr>
          <w:p>
            <w:pPr>
              <w:jc w:val="center"/>
            </w:pPr>
            <w:r>
              <w:rPr>
                <w:rFonts w:hint="eastAsia"/>
              </w:rPr>
              <w:t>-0.03</w:t>
            </w:r>
            <w:r>
              <w:rPr>
                <w:rFonts w:hint="eastAsia"/>
                <w:lang w:val="en-US" w:eastAsia="zh-CN"/>
              </w:rPr>
              <w:t>/</w:t>
            </w:r>
            <w:r>
              <w:rPr>
                <w:rFonts w:hint="eastAsia"/>
              </w:rPr>
              <w:t>常压</w:t>
            </w:r>
          </w:p>
        </w:tc>
        <w:tc>
          <w:tcPr>
            <w:tcW w:w="1524" w:type="dxa"/>
            <w:vAlign w:val="center"/>
          </w:tcPr>
          <w:p>
            <w:pPr>
              <w:jc w:val="center"/>
            </w:pPr>
            <w:r>
              <w:rPr>
                <w:rFonts w:hint="eastAsia"/>
              </w:rPr>
              <w:t>空气、氯化氢</w:t>
            </w:r>
          </w:p>
        </w:tc>
        <w:tc>
          <w:tcPr>
            <w:tcW w:w="944" w:type="dxa"/>
            <w:vAlign w:val="center"/>
          </w:tcPr>
          <w:p>
            <w:pPr>
              <w:jc w:val="center"/>
            </w:pPr>
            <w:r>
              <w:rPr>
                <w:rFonts w:hint="eastAsia"/>
              </w:rPr>
              <w:t>依托</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6" w:type="dxa"/>
            <w:gridSpan w:val="11"/>
            <w:vAlign w:val="center"/>
          </w:tcPr>
          <w:p>
            <w:pPr>
              <w:jc w:val="center"/>
            </w:pPr>
            <w:r>
              <w:rPr>
                <w:rFonts w:hint="eastAsia"/>
                <w:b/>
                <w:bCs/>
              </w:rPr>
              <w:t>二、罐区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64</w:t>
            </w:r>
          </w:p>
        </w:tc>
        <w:tc>
          <w:tcPr>
            <w:tcW w:w="1404" w:type="dxa"/>
            <w:vAlign w:val="center"/>
          </w:tcPr>
          <w:p>
            <w:pPr>
              <w:jc w:val="center"/>
            </w:pPr>
            <w:r>
              <w:rPr>
                <w:rFonts w:hint="eastAsia"/>
              </w:rPr>
              <w:t>液蜡储罐</w:t>
            </w:r>
          </w:p>
        </w:tc>
        <w:tc>
          <w:tcPr>
            <w:tcW w:w="1086" w:type="dxa"/>
            <w:vAlign w:val="center"/>
          </w:tcPr>
          <w:p>
            <w:pPr>
              <w:jc w:val="center"/>
            </w:pPr>
            <w:r>
              <w:rPr>
                <w:rFonts w:hint="eastAsia"/>
              </w:rPr>
              <w:t>CS</w:t>
            </w:r>
          </w:p>
        </w:tc>
        <w:tc>
          <w:tcPr>
            <w:tcW w:w="1028" w:type="dxa"/>
            <w:vAlign w:val="center"/>
          </w:tcPr>
          <w:p>
            <w:pPr>
              <w:jc w:val="center"/>
            </w:pPr>
            <w:r>
              <w:rPr>
                <w:rFonts w:hint="eastAsia"/>
              </w:rPr>
              <w:t>3</w:t>
            </w:r>
          </w:p>
        </w:tc>
        <w:tc>
          <w:tcPr>
            <w:tcW w:w="1819" w:type="dxa"/>
            <w:vAlign w:val="center"/>
          </w:tcPr>
          <w:p>
            <w:pPr>
              <w:jc w:val="center"/>
            </w:pPr>
            <w:r>
              <w:rPr>
                <w:rFonts w:hint="eastAsia"/>
              </w:rPr>
              <w:t>DN8000</w:t>
            </w:r>
            <w:r>
              <w:rPr>
                <w:rFonts w:ascii="Arial" w:hAnsi="Arial" w:cs="Arial"/>
              </w:rPr>
              <w:t>×</w:t>
            </w:r>
            <w:r>
              <w:rPr>
                <w:rFonts w:hint="eastAsia"/>
              </w:rPr>
              <w:t>12000m</w:t>
            </w:r>
          </w:p>
          <w:p>
            <w:pPr>
              <w:jc w:val="center"/>
            </w:pPr>
            <w:r>
              <w:rPr>
                <w:rFonts w:hint="eastAsia"/>
              </w:rPr>
              <w:t>m;</w:t>
            </w:r>
            <w:r>
              <w:rPr>
                <w:rFonts w:hint="eastAsia"/>
              </w:rPr>
              <w:tab/>
            </w:r>
            <w:r>
              <w:rPr>
                <w:rFonts w:hint="eastAsia"/>
              </w:rPr>
              <w:t>V=602m</w:t>
            </w:r>
            <w:r>
              <w:rPr>
                <w:rFonts w:hint="eastAsia"/>
                <w:vertAlign w:val="superscript"/>
              </w:rPr>
              <w:t>3</w:t>
            </w:r>
          </w:p>
        </w:tc>
        <w:tc>
          <w:tcPr>
            <w:tcW w:w="1594" w:type="dxa"/>
            <w:vAlign w:val="center"/>
          </w:tcPr>
          <w:p>
            <w:pPr>
              <w:jc w:val="center"/>
            </w:pPr>
            <w:r>
              <w:rPr>
                <w:rFonts w:hint="eastAsia"/>
              </w:rPr>
              <w:t>50/120</w:t>
            </w:r>
          </w:p>
        </w:tc>
        <w:tc>
          <w:tcPr>
            <w:tcW w:w="1949" w:type="dxa"/>
            <w:vAlign w:val="center"/>
          </w:tcPr>
          <w:p>
            <w:pPr>
              <w:jc w:val="center"/>
            </w:pPr>
            <w:r>
              <w:rPr>
                <w:rFonts w:hint="eastAsia"/>
              </w:rPr>
              <w:t>常压</w:t>
            </w:r>
          </w:p>
        </w:tc>
        <w:tc>
          <w:tcPr>
            <w:tcW w:w="1524" w:type="dxa"/>
            <w:vAlign w:val="center"/>
          </w:tcPr>
          <w:p>
            <w:pPr>
              <w:jc w:val="center"/>
            </w:pPr>
            <w:r>
              <w:rPr>
                <w:rFonts w:hint="eastAsia"/>
              </w:rPr>
              <w:t>液蜡</w:t>
            </w:r>
          </w:p>
        </w:tc>
        <w:tc>
          <w:tcPr>
            <w:tcW w:w="944" w:type="dxa"/>
            <w:vAlign w:val="center"/>
          </w:tcPr>
          <w:p>
            <w:pPr>
              <w:jc w:val="center"/>
            </w:pPr>
            <w:r>
              <w:rPr>
                <w:rFonts w:hint="eastAsia"/>
              </w:rPr>
              <w:t>新购</w:t>
            </w:r>
          </w:p>
        </w:tc>
        <w:tc>
          <w:tcPr>
            <w:tcW w:w="1131" w:type="dxa"/>
            <w:vAlign w:val="center"/>
          </w:tcPr>
          <w:p>
            <w:pPr>
              <w:jc w:val="center"/>
            </w:pPr>
            <w:r>
              <w:rPr>
                <w:rFonts w:hint="eastAsia"/>
              </w:rPr>
              <w:t>3</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65</w:t>
            </w:r>
          </w:p>
        </w:tc>
        <w:tc>
          <w:tcPr>
            <w:tcW w:w="1404" w:type="dxa"/>
            <w:vAlign w:val="center"/>
          </w:tcPr>
          <w:p>
            <w:pPr>
              <w:jc w:val="center"/>
            </w:pPr>
            <w:r>
              <w:rPr>
                <w:rFonts w:hint="eastAsia"/>
              </w:rPr>
              <w:t>液蜡配料罐</w:t>
            </w:r>
          </w:p>
        </w:tc>
        <w:tc>
          <w:tcPr>
            <w:tcW w:w="1086" w:type="dxa"/>
            <w:vAlign w:val="center"/>
          </w:tcPr>
          <w:p>
            <w:pPr>
              <w:jc w:val="center"/>
            </w:pPr>
            <w:r>
              <w:rPr>
                <w:rFonts w:hint="eastAsia"/>
              </w:rPr>
              <w:t>CS</w:t>
            </w:r>
          </w:p>
        </w:tc>
        <w:tc>
          <w:tcPr>
            <w:tcW w:w="1028" w:type="dxa"/>
            <w:vAlign w:val="center"/>
          </w:tcPr>
          <w:p>
            <w:pPr>
              <w:jc w:val="center"/>
            </w:pPr>
            <w:r>
              <w:rPr>
                <w:rFonts w:hint="eastAsia"/>
              </w:rPr>
              <w:t>4</w:t>
            </w:r>
          </w:p>
        </w:tc>
        <w:tc>
          <w:tcPr>
            <w:tcW w:w="1819" w:type="dxa"/>
            <w:vAlign w:val="center"/>
          </w:tcPr>
          <w:p>
            <w:pPr>
              <w:jc w:val="center"/>
            </w:pPr>
            <w:r>
              <w:rPr>
                <w:rFonts w:hint="eastAsia"/>
              </w:rPr>
              <w:t>DN8000</w:t>
            </w:r>
            <w:r>
              <w:rPr>
                <w:rFonts w:ascii="Arial" w:hAnsi="Arial" w:cs="Arial"/>
              </w:rPr>
              <w:t>×</w:t>
            </w:r>
            <w:r>
              <w:rPr>
                <w:rFonts w:hint="eastAsia"/>
              </w:rPr>
              <w:t>12000m</w:t>
            </w:r>
          </w:p>
          <w:p>
            <w:pPr>
              <w:jc w:val="center"/>
            </w:pPr>
            <w:r>
              <w:rPr>
                <w:rFonts w:hint="eastAsia"/>
              </w:rPr>
              <w:t>m;</w:t>
            </w:r>
            <w:r>
              <w:rPr>
                <w:rFonts w:hint="eastAsia"/>
              </w:rPr>
              <w:tab/>
            </w:r>
            <w:r>
              <w:rPr>
                <w:rFonts w:hint="eastAsia"/>
              </w:rPr>
              <w:t>V=602m</w:t>
            </w:r>
            <w:r>
              <w:rPr>
                <w:rFonts w:hint="eastAsia"/>
                <w:vertAlign w:val="superscript"/>
              </w:rPr>
              <w:t>3</w:t>
            </w:r>
          </w:p>
        </w:tc>
        <w:tc>
          <w:tcPr>
            <w:tcW w:w="1594" w:type="dxa"/>
            <w:vAlign w:val="center"/>
          </w:tcPr>
          <w:p>
            <w:pPr>
              <w:jc w:val="center"/>
            </w:pPr>
            <w:r>
              <w:rPr>
                <w:rFonts w:hint="eastAsia"/>
              </w:rPr>
              <w:t>50/120</w:t>
            </w:r>
          </w:p>
        </w:tc>
        <w:tc>
          <w:tcPr>
            <w:tcW w:w="1949" w:type="dxa"/>
            <w:vAlign w:val="center"/>
          </w:tcPr>
          <w:p>
            <w:pPr>
              <w:jc w:val="center"/>
            </w:pPr>
            <w:r>
              <w:rPr>
                <w:rFonts w:hint="eastAsia"/>
              </w:rPr>
              <w:t>常压</w:t>
            </w:r>
          </w:p>
        </w:tc>
        <w:tc>
          <w:tcPr>
            <w:tcW w:w="1524" w:type="dxa"/>
            <w:vAlign w:val="center"/>
          </w:tcPr>
          <w:p>
            <w:pPr>
              <w:jc w:val="center"/>
            </w:pPr>
            <w:r>
              <w:rPr>
                <w:rFonts w:hint="eastAsia"/>
              </w:rPr>
              <w:t>液蜡</w:t>
            </w:r>
          </w:p>
        </w:tc>
        <w:tc>
          <w:tcPr>
            <w:tcW w:w="944" w:type="dxa"/>
            <w:vAlign w:val="center"/>
          </w:tcPr>
          <w:p>
            <w:pPr>
              <w:jc w:val="center"/>
            </w:pPr>
            <w:r>
              <w:rPr>
                <w:rFonts w:hint="eastAsia"/>
              </w:rPr>
              <w:t>新购</w:t>
            </w:r>
          </w:p>
        </w:tc>
        <w:tc>
          <w:tcPr>
            <w:tcW w:w="1131" w:type="dxa"/>
            <w:vAlign w:val="center"/>
          </w:tcPr>
          <w:p>
            <w:pPr>
              <w:jc w:val="center"/>
            </w:pPr>
            <w:r>
              <w:rPr>
                <w:rFonts w:hint="eastAsia"/>
              </w:rPr>
              <w:t>4</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66</w:t>
            </w:r>
          </w:p>
        </w:tc>
        <w:tc>
          <w:tcPr>
            <w:tcW w:w="1404" w:type="dxa"/>
            <w:vAlign w:val="center"/>
          </w:tcPr>
          <w:p>
            <w:pPr>
              <w:jc w:val="center"/>
            </w:pPr>
            <w:r>
              <w:rPr>
                <w:rFonts w:hint="eastAsia"/>
              </w:rPr>
              <w:t>氯化石蜡储罐</w:t>
            </w:r>
          </w:p>
        </w:tc>
        <w:tc>
          <w:tcPr>
            <w:tcW w:w="1086" w:type="dxa"/>
            <w:vAlign w:val="center"/>
          </w:tcPr>
          <w:p>
            <w:pPr>
              <w:jc w:val="center"/>
            </w:pPr>
            <w:r>
              <w:rPr>
                <w:rFonts w:hint="eastAsia"/>
              </w:rPr>
              <w:t>S30408</w:t>
            </w:r>
          </w:p>
        </w:tc>
        <w:tc>
          <w:tcPr>
            <w:tcW w:w="1028" w:type="dxa"/>
            <w:vAlign w:val="center"/>
          </w:tcPr>
          <w:p>
            <w:pPr>
              <w:jc w:val="center"/>
            </w:pPr>
            <w:r>
              <w:rPr>
                <w:rFonts w:hint="eastAsia"/>
              </w:rPr>
              <w:t>10</w:t>
            </w:r>
          </w:p>
        </w:tc>
        <w:tc>
          <w:tcPr>
            <w:tcW w:w="1819" w:type="dxa"/>
            <w:vAlign w:val="center"/>
          </w:tcPr>
          <w:p>
            <w:pPr>
              <w:jc w:val="center"/>
            </w:pPr>
            <w:r>
              <w:rPr>
                <w:rFonts w:hint="eastAsia"/>
              </w:rPr>
              <w:t>DN9200</w:t>
            </w:r>
            <w:r>
              <w:rPr>
                <w:rFonts w:ascii="Arial" w:hAnsi="Arial" w:cs="Arial"/>
              </w:rPr>
              <w:t>×</w:t>
            </w:r>
            <w:r>
              <w:rPr>
                <w:rFonts w:hint="eastAsia"/>
              </w:rPr>
              <w:t>10500m</w:t>
            </w:r>
          </w:p>
          <w:p>
            <w:pPr>
              <w:jc w:val="center"/>
            </w:pPr>
            <w:r>
              <w:rPr>
                <w:rFonts w:hint="eastAsia"/>
              </w:rPr>
              <w:t>m;</w:t>
            </w:r>
            <w:r>
              <w:rPr>
                <w:rFonts w:hint="eastAsia"/>
              </w:rPr>
              <w:tab/>
            </w:r>
            <w:r>
              <w:rPr>
                <w:rFonts w:hint="eastAsia"/>
              </w:rPr>
              <w:t>V690m</w:t>
            </w:r>
            <w:r>
              <w:rPr>
                <w:rFonts w:hint="eastAsia"/>
                <w:vertAlign w:val="superscript"/>
              </w:rPr>
              <w:t>3</w:t>
            </w:r>
          </w:p>
        </w:tc>
        <w:tc>
          <w:tcPr>
            <w:tcW w:w="1594" w:type="dxa"/>
            <w:vAlign w:val="center"/>
          </w:tcPr>
          <w:p>
            <w:pPr>
              <w:jc w:val="center"/>
            </w:pPr>
            <w:r>
              <w:rPr>
                <w:rFonts w:hint="eastAsia"/>
              </w:rPr>
              <w:t>50/100</w:t>
            </w:r>
          </w:p>
        </w:tc>
        <w:tc>
          <w:tcPr>
            <w:tcW w:w="1949" w:type="dxa"/>
            <w:vAlign w:val="center"/>
          </w:tcPr>
          <w:p>
            <w:pPr>
              <w:jc w:val="center"/>
            </w:pPr>
            <w:r>
              <w:rPr>
                <w:rFonts w:hint="eastAsia"/>
              </w:rPr>
              <w:t>常压</w:t>
            </w:r>
          </w:p>
        </w:tc>
        <w:tc>
          <w:tcPr>
            <w:tcW w:w="1524" w:type="dxa"/>
            <w:vAlign w:val="center"/>
          </w:tcPr>
          <w:p>
            <w:pPr>
              <w:jc w:val="center"/>
            </w:pPr>
            <w:r>
              <w:rPr>
                <w:rFonts w:hint="eastAsia"/>
              </w:rPr>
              <w:t>氯化石蜡52</w:t>
            </w:r>
          </w:p>
        </w:tc>
        <w:tc>
          <w:tcPr>
            <w:tcW w:w="944" w:type="dxa"/>
            <w:vAlign w:val="center"/>
          </w:tcPr>
          <w:p>
            <w:pPr>
              <w:jc w:val="center"/>
            </w:pPr>
            <w:r>
              <w:rPr>
                <w:rFonts w:hint="eastAsia"/>
              </w:rPr>
              <w:t>新购</w:t>
            </w:r>
          </w:p>
        </w:tc>
        <w:tc>
          <w:tcPr>
            <w:tcW w:w="1131" w:type="dxa"/>
            <w:vAlign w:val="center"/>
          </w:tcPr>
          <w:p>
            <w:pPr>
              <w:jc w:val="center"/>
            </w:pPr>
            <w:r>
              <w:rPr>
                <w:rFonts w:hint="eastAsia"/>
              </w:rPr>
              <w:t>10</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67</w:t>
            </w:r>
          </w:p>
        </w:tc>
        <w:tc>
          <w:tcPr>
            <w:tcW w:w="1404" w:type="dxa"/>
            <w:vAlign w:val="center"/>
          </w:tcPr>
          <w:p>
            <w:pPr>
              <w:jc w:val="center"/>
            </w:pPr>
            <w:r>
              <w:rPr>
                <w:rFonts w:hint="eastAsia"/>
              </w:rPr>
              <w:t>液碱储罐</w:t>
            </w:r>
          </w:p>
        </w:tc>
        <w:tc>
          <w:tcPr>
            <w:tcW w:w="1086" w:type="dxa"/>
            <w:vAlign w:val="center"/>
          </w:tcPr>
          <w:p>
            <w:pPr>
              <w:jc w:val="center"/>
            </w:pPr>
            <w:r>
              <w:rPr>
                <w:rFonts w:hint="eastAsia"/>
              </w:rPr>
              <w:t>S30408</w:t>
            </w:r>
          </w:p>
        </w:tc>
        <w:tc>
          <w:tcPr>
            <w:tcW w:w="1028" w:type="dxa"/>
            <w:vAlign w:val="center"/>
          </w:tcPr>
          <w:p>
            <w:pPr>
              <w:jc w:val="center"/>
            </w:pPr>
            <w:r>
              <w:rPr>
                <w:rFonts w:hint="eastAsia"/>
              </w:rPr>
              <w:t>1</w:t>
            </w:r>
          </w:p>
        </w:tc>
        <w:tc>
          <w:tcPr>
            <w:tcW w:w="1819" w:type="dxa"/>
            <w:vAlign w:val="center"/>
          </w:tcPr>
          <w:p>
            <w:pPr>
              <w:jc w:val="center"/>
            </w:pPr>
            <w:r>
              <w:rPr>
                <w:rFonts w:hint="eastAsia"/>
              </w:rPr>
              <w:t>DN6000</w:t>
            </w:r>
            <w:r>
              <w:rPr>
                <w:rFonts w:ascii="Arial" w:hAnsi="Arial" w:cs="Arial"/>
              </w:rPr>
              <w:t>×</w:t>
            </w:r>
            <w:r>
              <w:rPr>
                <w:rFonts w:hint="eastAsia"/>
              </w:rPr>
              <w:t>7500m</w:t>
            </w:r>
          </w:p>
          <w:p>
            <w:pPr>
              <w:jc w:val="center"/>
            </w:pPr>
            <w:r>
              <w:rPr>
                <w:rFonts w:hint="eastAsia"/>
              </w:rPr>
              <w:t>m;</w:t>
            </w:r>
            <w:r>
              <w:rPr>
                <w:rFonts w:hint="eastAsia"/>
              </w:rPr>
              <w:tab/>
            </w:r>
            <w:r>
              <w:rPr>
                <w:rFonts w:hint="eastAsia"/>
              </w:rPr>
              <w:t>V=212m</w:t>
            </w:r>
            <w:r>
              <w:rPr>
                <w:rFonts w:hint="eastAsia"/>
                <w:vertAlign w:val="superscript"/>
              </w:rPr>
              <w:t>3</w:t>
            </w:r>
          </w:p>
        </w:tc>
        <w:tc>
          <w:tcPr>
            <w:tcW w:w="1594" w:type="dxa"/>
            <w:vAlign w:val="center"/>
          </w:tcPr>
          <w:p>
            <w:pPr>
              <w:jc w:val="center"/>
            </w:pPr>
            <w:r>
              <w:rPr>
                <w:rFonts w:hint="eastAsia"/>
              </w:rPr>
              <w:t>常温</w:t>
            </w:r>
            <w:r>
              <w:rPr>
                <w:rFonts w:hint="eastAsia"/>
                <w:lang w:val="en-US" w:eastAsia="zh-CN"/>
              </w:rPr>
              <w:t>/</w:t>
            </w:r>
            <w:r>
              <w:rPr>
                <w:rFonts w:hint="eastAsia"/>
              </w:rPr>
              <w:t>100</w:t>
            </w:r>
          </w:p>
        </w:tc>
        <w:tc>
          <w:tcPr>
            <w:tcW w:w="1949" w:type="dxa"/>
            <w:vAlign w:val="center"/>
          </w:tcPr>
          <w:p>
            <w:pPr>
              <w:jc w:val="center"/>
            </w:pPr>
            <w:r>
              <w:rPr>
                <w:rFonts w:hint="eastAsia"/>
              </w:rPr>
              <w:t>常压</w:t>
            </w:r>
          </w:p>
        </w:tc>
        <w:tc>
          <w:tcPr>
            <w:tcW w:w="1524" w:type="dxa"/>
            <w:vAlign w:val="center"/>
          </w:tcPr>
          <w:p>
            <w:pPr>
              <w:jc w:val="center"/>
            </w:pPr>
            <w:r>
              <w:rPr>
                <w:rFonts w:hint="eastAsia"/>
              </w:rPr>
              <w:t>液碱</w:t>
            </w:r>
          </w:p>
        </w:tc>
        <w:tc>
          <w:tcPr>
            <w:tcW w:w="944" w:type="dxa"/>
            <w:vAlign w:val="center"/>
          </w:tcPr>
          <w:p>
            <w:pPr>
              <w:jc w:val="center"/>
            </w:pPr>
            <w:r>
              <w:rPr>
                <w:rFonts w:hint="eastAsia"/>
              </w:rPr>
              <w:t>依托</w:t>
            </w:r>
          </w:p>
        </w:tc>
        <w:tc>
          <w:tcPr>
            <w:tcW w:w="1131" w:type="dxa"/>
            <w:vAlign w:val="center"/>
          </w:tcPr>
          <w:p>
            <w:pPr>
              <w:jc w:val="center"/>
            </w:pPr>
            <w:r>
              <w:rPr>
                <w:rFonts w:hint="eastAsia"/>
              </w:rPr>
              <w:t>1</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68</w:t>
            </w:r>
          </w:p>
        </w:tc>
        <w:tc>
          <w:tcPr>
            <w:tcW w:w="1404" w:type="dxa"/>
            <w:vAlign w:val="center"/>
          </w:tcPr>
          <w:p>
            <w:pPr>
              <w:jc w:val="center"/>
            </w:pPr>
            <w:r>
              <w:rPr>
                <w:rFonts w:hint="eastAsia"/>
              </w:rPr>
              <w:t>盐酸储罐</w:t>
            </w:r>
          </w:p>
        </w:tc>
        <w:tc>
          <w:tcPr>
            <w:tcW w:w="1086" w:type="dxa"/>
            <w:vAlign w:val="center"/>
          </w:tcPr>
          <w:p>
            <w:pPr>
              <w:jc w:val="center"/>
            </w:pPr>
            <w:r>
              <w:rPr>
                <w:rFonts w:hint="eastAsia"/>
              </w:rPr>
              <w:t>FRP</w:t>
            </w:r>
          </w:p>
        </w:tc>
        <w:tc>
          <w:tcPr>
            <w:tcW w:w="1028" w:type="dxa"/>
            <w:vAlign w:val="center"/>
          </w:tcPr>
          <w:p>
            <w:pPr>
              <w:jc w:val="center"/>
            </w:pPr>
            <w:r>
              <w:rPr>
                <w:rFonts w:hint="eastAsia"/>
              </w:rPr>
              <w:t>4</w:t>
            </w:r>
          </w:p>
        </w:tc>
        <w:tc>
          <w:tcPr>
            <w:tcW w:w="1819" w:type="dxa"/>
            <w:vAlign w:val="center"/>
          </w:tcPr>
          <w:p>
            <w:pPr>
              <w:jc w:val="center"/>
            </w:pPr>
            <w:r>
              <w:rPr>
                <w:rFonts w:hint="eastAsia"/>
              </w:rPr>
              <w:t>DN9200</w:t>
            </w:r>
            <w:r>
              <w:rPr>
                <w:rFonts w:ascii="Arial" w:hAnsi="Arial" w:cs="Arial"/>
              </w:rPr>
              <w:t>×</w:t>
            </w:r>
            <w:r>
              <w:rPr>
                <w:rFonts w:hint="eastAsia"/>
              </w:rPr>
              <w:t>10500m</w:t>
            </w:r>
          </w:p>
          <w:p>
            <w:pPr>
              <w:jc w:val="center"/>
            </w:pPr>
            <w:r>
              <w:rPr>
                <w:rFonts w:hint="eastAsia"/>
              </w:rPr>
              <w:t>m;</w:t>
            </w:r>
            <w:r>
              <w:rPr>
                <w:rFonts w:hint="eastAsia"/>
              </w:rPr>
              <w:tab/>
            </w:r>
            <w:r>
              <w:rPr>
                <w:rFonts w:hint="eastAsia"/>
              </w:rPr>
              <w:t>V=690m</w:t>
            </w:r>
            <w:r>
              <w:rPr>
                <w:rFonts w:hint="eastAsia"/>
                <w:vertAlign w:val="superscript"/>
              </w:rPr>
              <w:t>3</w:t>
            </w:r>
          </w:p>
        </w:tc>
        <w:tc>
          <w:tcPr>
            <w:tcW w:w="1594" w:type="dxa"/>
            <w:vAlign w:val="center"/>
          </w:tcPr>
          <w:p>
            <w:pPr>
              <w:jc w:val="center"/>
            </w:pPr>
            <w:r>
              <w:rPr>
                <w:rFonts w:hint="eastAsia"/>
              </w:rPr>
              <w:t>常温</w:t>
            </w:r>
            <w:r>
              <w:rPr>
                <w:rFonts w:hint="eastAsia"/>
                <w:lang w:val="en-US" w:eastAsia="zh-CN"/>
              </w:rPr>
              <w:t>/</w:t>
            </w:r>
            <w:r>
              <w:rPr>
                <w:rFonts w:hint="eastAsia"/>
              </w:rPr>
              <w:t>100</w:t>
            </w:r>
          </w:p>
        </w:tc>
        <w:tc>
          <w:tcPr>
            <w:tcW w:w="1949" w:type="dxa"/>
            <w:vAlign w:val="center"/>
          </w:tcPr>
          <w:p>
            <w:pPr>
              <w:jc w:val="center"/>
            </w:pPr>
            <w:r>
              <w:rPr>
                <w:rFonts w:hint="eastAsia"/>
              </w:rPr>
              <w:t>常压</w:t>
            </w:r>
          </w:p>
        </w:tc>
        <w:tc>
          <w:tcPr>
            <w:tcW w:w="1524" w:type="dxa"/>
            <w:vAlign w:val="center"/>
          </w:tcPr>
          <w:p>
            <w:pPr>
              <w:jc w:val="center"/>
            </w:pPr>
            <w:r>
              <w:rPr>
                <w:rFonts w:hint="eastAsia"/>
              </w:rPr>
              <w:t>31％盐酸</w:t>
            </w:r>
          </w:p>
        </w:tc>
        <w:tc>
          <w:tcPr>
            <w:tcW w:w="944" w:type="dxa"/>
            <w:vAlign w:val="center"/>
          </w:tcPr>
          <w:p>
            <w:pPr>
              <w:jc w:val="center"/>
            </w:pPr>
            <w:r>
              <w:rPr>
                <w:rFonts w:hint="eastAsia"/>
              </w:rPr>
              <w:t>新购</w:t>
            </w:r>
          </w:p>
        </w:tc>
        <w:tc>
          <w:tcPr>
            <w:tcW w:w="1131" w:type="dxa"/>
            <w:vAlign w:val="center"/>
          </w:tcPr>
          <w:p>
            <w:pPr>
              <w:jc w:val="center"/>
            </w:pPr>
            <w:r>
              <w:rPr>
                <w:rFonts w:hint="eastAsia"/>
              </w:rPr>
              <w:t>4</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69</w:t>
            </w:r>
          </w:p>
        </w:tc>
        <w:tc>
          <w:tcPr>
            <w:tcW w:w="1404" w:type="dxa"/>
            <w:vAlign w:val="center"/>
          </w:tcPr>
          <w:p>
            <w:pPr>
              <w:jc w:val="center"/>
            </w:pPr>
            <w:r>
              <w:rPr>
                <w:rFonts w:hint="eastAsia"/>
              </w:rPr>
              <w:t>次氯酸钠储罐</w:t>
            </w:r>
          </w:p>
        </w:tc>
        <w:tc>
          <w:tcPr>
            <w:tcW w:w="1086" w:type="dxa"/>
            <w:vAlign w:val="center"/>
          </w:tcPr>
          <w:p>
            <w:pPr>
              <w:jc w:val="center"/>
            </w:pPr>
            <w:r>
              <w:rPr>
                <w:rFonts w:hint="eastAsia"/>
              </w:rPr>
              <w:t>FRP</w:t>
            </w:r>
          </w:p>
        </w:tc>
        <w:tc>
          <w:tcPr>
            <w:tcW w:w="1028" w:type="dxa"/>
            <w:vAlign w:val="center"/>
          </w:tcPr>
          <w:p>
            <w:pPr>
              <w:jc w:val="center"/>
            </w:pPr>
            <w:r>
              <w:rPr>
                <w:rFonts w:hint="eastAsia"/>
              </w:rPr>
              <w:t>1</w:t>
            </w:r>
          </w:p>
        </w:tc>
        <w:tc>
          <w:tcPr>
            <w:tcW w:w="1819" w:type="dxa"/>
            <w:vAlign w:val="center"/>
          </w:tcPr>
          <w:p>
            <w:pPr>
              <w:jc w:val="center"/>
            </w:pPr>
            <w:r>
              <w:rPr>
                <w:rFonts w:hint="eastAsia"/>
              </w:rPr>
              <w:t>DN6000</w:t>
            </w:r>
            <w:r>
              <w:rPr>
                <w:rFonts w:ascii="Arial" w:hAnsi="Arial" w:cs="Arial"/>
              </w:rPr>
              <w:t>×</w:t>
            </w:r>
            <w:r>
              <w:rPr>
                <w:rFonts w:hint="eastAsia"/>
              </w:rPr>
              <w:t>7500m</w:t>
            </w:r>
          </w:p>
          <w:p>
            <w:pPr>
              <w:jc w:val="center"/>
            </w:pPr>
            <w:r>
              <w:rPr>
                <w:rFonts w:hint="eastAsia"/>
              </w:rPr>
              <w:t>m;V=212m</w:t>
            </w:r>
            <w:r>
              <w:rPr>
                <w:rFonts w:hint="eastAsia"/>
                <w:vertAlign w:val="superscript"/>
              </w:rPr>
              <w:t>3</w:t>
            </w:r>
          </w:p>
        </w:tc>
        <w:tc>
          <w:tcPr>
            <w:tcW w:w="1594" w:type="dxa"/>
            <w:vAlign w:val="center"/>
          </w:tcPr>
          <w:p>
            <w:pPr>
              <w:jc w:val="center"/>
            </w:pPr>
            <w:r>
              <w:rPr>
                <w:rFonts w:hint="eastAsia"/>
              </w:rPr>
              <w:t>常温</w:t>
            </w:r>
            <w:r>
              <w:rPr>
                <w:rFonts w:hint="eastAsia"/>
                <w:lang w:val="en-US" w:eastAsia="zh-CN"/>
              </w:rPr>
              <w:t>/</w:t>
            </w:r>
            <w:r>
              <w:rPr>
                <w:rFonts w:hint="eastAsia"/>
              </w:rPr>
              <w:t>100</w:t>
            </w:r>
          </w:p>
        </w:tc>
        <w:tc>
          <w:tcPr>
            <w:tcW w:w="1949" w:type="dxa"/>
            <w:vAlign w:val="center"/>
          </w:tcPr>
          <w:p>
            <w:pPr>
              <w:jc w:val="center"/>
            </w:pPr>
            <w:r>
              <w:rPr>
                <w:rFonts w:hint="eastAsia"/>
              </w:rPr>
              <w:t>常压</w:t>
            </w:r>
          </w:p>
        </w:tc>
        <w:tc>
          <w:tcPr>
            <w:tcW w:w="1524" w:type="dxa"/>
            <w:vAlign w:val="center"/>
          </w:tcPr>
          <w:p>
            <w:pPr>
              <w:jc w:val="center"/>
            </w:pPr>
            <w:r>
              <w:rPr>
                <w:rFonts w:hint="eastAsia"/>
              </w:rPr>
              <w:t>次氯酸钠</w:t>
            </w:r>
          </w:p>
        </w:tc>
        <w:tc>
          <w:tcPr>
            <w:tcW w:w="944" w:type="dxa"/>
            <w:vAlign w:val="center"/>
          </w:tcPr>
          <w:p>
            <w:pPr>
              <w:jc w:val="center"/>
            </w:pPr>
            <w:r>
              <w:rPr>
                <w:rFonts w:hint="eastAsia"/>
              </w:rPr>
              <w:t>新购</w:t>
            </w:r>
          </w:p>
        </w:tc>
        <w:tc>
          <w:tcPr>
            <w:tcW w:w="1131" w:type="dxa"/>
            <w:vAlign w:val="center"/>
          </w:tcPr>
          <w:p>
            <w:pPr>
              <w:jc w:val="center"/>
            </w:pPr>
            <w:r>
              <w:rPr>
                <w:rFonts w:hint="eastAsia"/>
              </w:rPr>
              <w:t>1</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70</w:t>
            </w:r>
          </w:p>
        </w:tc>
        <w:tc>
          <w:tcPr>
            <w:tcW w:w="1404" w:type="dxa"/>
            <w:vAlign w:val="center"/>
          </w:tcPr>
          <w:p>
            <w:pPr>
              <w:jc w:val="center"/>
            </w:pPr>
            <w:r>
              <w:rPr>
                <w:rFonts w:hint="eastAsia"/>
              </w:rPr>
              <w:t>液蜡卸车泵</w:t>
            </w:r>
          </w:p>
        </w:tc>
        <w:tc>
          <w:tcPr>
            <w:tcW w:w="1086" w:type="dxa"/>
            <w:vAlign w:val="center"/>
          </w:tcPr>
          <w:p>
            <w:pPr>
              <w:jc w:val="center"/>
            </w:pPr>
            <w:r>
              <w:rPr>
                <w:rFonts w:hint="eastAsia"/>
              </w:rPr>
              <w:t>S30408</w:t>
            </w:r>
          </w:p>
        </w:tc>
        <w:tc>
          <w:tcPr>
            <w:tcW w:w="1028" w:type="dxa"/>
            <w:vAlign w:val="center"/>
          </w:tcPr>
          <w:p>
            <w:pPr>
              <w:jc w:val="center"/>
            </w:pPr>
            <w:r>
              <w:rPr>
                <w:rFonts w:hint="eastAsia"/>
              </w:rPr>
              <w:t>2</w:t>
            </w:r>
          </w:p>
        </w:tc>
        <w:tc>
          <w:tcPr>
            <w:tcW w:w="1819" w:type="dxa"/>
            <w:vAlign w:val="center"/>
          </w:tcPr>
          <w:p>
            <w:pPr>
              <w:jc w:val="center"/>
            </w:pPr>
            <w:r>
              <w:rPr>
                <w:rFonts w:hint="eastAsia"/>
              </w:rPr>
              <w:t>Q=50m</w:t>
            </w:r>
            <w:r>
              <w:rPr>
                <w:rFonts w:hint="eastAsia"/>
                <w:vertAlign w:val="superscript"/>
              </w:rPr>
              <w:t>3</w:t>
            </w:r>
            <w:r>
              <w:rPr>
                <w:rFonts w:hint="eastAsia"/>
              </w:rPr>
              <w:t>/h,</w:t>
            </w:r>
          </w:p>
          <w:p>
            <w:pPr>
              <w:jc w:val="center"/>
            </w:pPr>
            <w:r>
              <w:rPr>
                <w:rFonts w:hint="eastAsia"/>
              </w:rPr>
              <w:t>H=25m,</w:t>
            </w:r>
          </w:p>
          <w:p>
            <w:pPr>
              <w:jc w:val="center"/>
            </w:pPr>
            <w:r>
              <w:rPr>
                <w:rFonts w:hint="eastAsia"/>
              </w:rPr>
              <w:t>P=5.5kW</w:t>
            </w:r>
          </w:p>
        </w:tc>
        <w:tc>
          <w:tcPr>
            <w:tcW w:w="1594" w:type="dxa"/>
            <w:vAlign w:val="center"/>
          </w:tcPr>
          <w:p>
            <w:pPr>
              <w:jc w:val="center"/>
            </w:pPr>
            <w:r>
              <w:rPr>
                <w:rFonts w:hint="eastAsia"/>
              </w:rPr>
              <w:t>35/50</w:t>
            </w:r>
          </w:p>
        </w:tc>
        <w:tc>
          <w:tcPr>
            <w:tcW w:w="1949" w:type="dxa"/>
            <w:vAlign w:val="center"/>
          </w:tcPr>
          <w:p>
            <w:pPr>
              <w:jc w:val="center"/>
            </w:pPr>
            <w:r>
              <w:rPr>
                <w:rFonts w:hint="eastAsia"/>
              </w:rPr>
              <w:t>0.3/0.4</w:t>
            </w:r>
          </w:p>
        </w:tc>
        <w:tc>
          <w:tcPr>
            <w:tcW w:w="1524" w:type="dxa"/>
            <w:vAlign w:val="center"/>
          </w:tcPr>
          <w:p>
            <w:pPr>
              <w:jc w:val="center"/>
            </w:pPr>
            <w:r>
              <w:rPr>
                <w:rFonts w:hint="eastAsia"/>
              </w:rPr>
              <w:t>液蜡</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71</w:t>
            </w:r>
          </w:p>
        </w:tc>
        <w:tc>
          <w:tcPr>
            <w:tcW w:w="1404" w:type="dxa"/>
            <w:vAlign w:val="center"/>
          </w:tcPr>
          <w:p>
            <w:pPr>
              <w:jc w:val="center"/>
            </w:pPr>
            <w:r>
              <w:rPr>
                <w:rFonts w:hint="eastAsia"/>
              </w:rPr>
              <w:t>液蜡输送泵</w:t>
            </w:r>
          </w:p>
        </w:tc>
        <w:tc>
          <w:tcPr>
            <w:tcW w:w="1086" w:type="dxa"/>
            <w:vAlign w:val="center"/>
          </w:tcPr>
          <w:p>
            <w:pPr>
              <w:jc w:val="center"/>
            </w:pPr>
            <w:r>
              <w:rPr>
                <w:rFonts w:hint="eastAsia"/>
              </w:rPr>
              <w:t>S30408</w:t>
            </w:r>
          </w:p>
        </w:tc>
        <w:tc>
          <w:tcPr>
            <w:tcW w:w="1028" w:type="dxa"/>
            <w:vAlign w:val="center"/>
          </w:tcPr>
          <w:p>
            <w:pPr>
              <w:jc w:val="center"/>
            </w:pPr>
            <w:r>
              <w:rPr>
                <w:rFonts w:hint="eastAsia"/>
              </w:rPr>
              <w:t>2</w:t>
            </w:r>
          </w:p>
        </w:tc>
        <w:tc>
          <w:tcPr>
            <w:tcW w:w="1819" w:type="dxa"/>
            <w:vAlign w:val="center"/>
          </w:tcPr>
          <w:p>
            <w:pPr>
              <w:jc w:val="center"/>
            </w:pPr>
            <w:r>
              <w:rPr>
                <w:rFonts w:hint="eastAsia"/>
              </w:rPr>
              <w:t>Q=50m</w:t>
            </w:r>
            <w:r>
              <w:rPr>
                <w:rFonts w:hint="eastAsia"/>
                <w:vertAlign w:val="superscript"/>
              </w:rPr>
              <w:t>3</w:t>
            </w:r>
            <w:r>
              <w:rPr>
                <w:rFonts w:hint="eastAsia"/>
              </w:rPr>
              <w:t>/h,</w:t>
            </w:r>
          </w:p>
          <w:p>
            <w:pPr>
              <w:jc w:val="center"/>
            </w:pPr>
            <w:r>
              <w:rPr>
                <w:rFonts w:hint="eastAsia"/>
              </w:rPr>
              <w:t>H=25m,</w:t>
            </w:r>
          </w:p>
          <w:p>
            <w:pPr>
              <w:jc w:val="center"/>
            </w:pPr>
            <w:r>
              <w:rPr>
                <w:rFonts w:hint="eastAsia"/>
              </w:rPr>
              <w:t>P=5.5kW</w:t>
            </w:r>
          </w:p>
        </w:tc>
        <w:tc>
          <w:tcPr>
            <w:tcW w:w="1594" w:type="dxa"/>
            <w:vAlign w:val="center"/>
          </w:tcPr>
          <w:p>
            <w:pPr>
              <w:jc w:val="center"/>
            </w:pPr>
            <w:r>
              <w:rPr>
                <w:rFonts w:hint="eastAsia"/>
              </w:rPr>
              <w:t>35/50</w:t>
            </w:r>
          </w:p>
        </w:tc>
        <w:tc>
          <w:tcPr>
            <w:tcW w:w="1949" w:type="dxa"/>
            <w:vAlign w:val="center"/>
          </w:tcPr>
          <w:p>
            <w:pPr>
              <w:jc w:val="center"/>
            </w:pPr>
            <w:r>
              <w:rPr>
                <w:rFonts w:hint="eastAsia"/>
              </w:rPr>
              <w:t>0.3/0.4</w:t>
            </w:r>
          </w:p>
        </w:tc>
        <w:tc>
          <w:tcPr>
            <w:tcW w:w="1524" w:type="dxa"/>
            <w:vAlign w:val="center"/>
          </w:tcPr>
          <w:p>
            <w:pPr>
              <w:jc w:val="center"/>
            </w:pPr>
            <w:r>
              <w:rPr>
                <w:rFonts w:hint="eastAsia"/>
              </w:rPr>
              <w:t>液蜡</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72</w:t>
            </w:r>
          </w:p>
        </w:tc>
        <w:tc>
          <w:tcPr>
            <w:tcW w:w="1404" w:type="dxa"/>
            <w:vAlign w:val="center"/>
          </w:tcPr>
          <w:p>
            <w:pPr>
              <w:jc w:val="center"/>
            </w:pPr>
            <w:r>
              <w:rPr>
                <w:rFonts w:hint="eastAsia"/>
              </w:rPr>
              <w:t>液蜡进料泵</w:t>
            </w:r>
          </w:p>
        </w:tc>
        <w:tc>
          <w:tcPr>
            <w:tcW w:w="1086" w:type="dxa"/>
            <w:vAlign w:val="center"/>
          </w:tcPr>
          <w:p>
            <w:pPr>
              <w:jc w:val="center"/>
            </w:pPr>
            <w:r>
              <w:rPr>
                <w:rFonts w:hint="eastAsia"/>
              </w:rPr>
              <w:t>CS/PTFE</w:t>
            </w:r>
          </w:p>
        </w:tc>
        <w:tc>
          <w:tcPr>
            <w:tcW w:w="1028" w:type="dxa"/>
            <w:vAlign w:val="center"/>
          </w:tcPr>
          <w:p>
            <w:pPr>
              <w:jc w:val="center"/>
            </w:pPr>
            <w:r>
              <w:rPr>
                <w:rFonts w:hint="eastAsia"/>
              </w:rPr>
              <w:t>8</w:t>
            </w:r>
          </w:p>
        </w:tc>
        <w:tc>
          <w:tcPr>
            <w:tcW w:w="1819" w:type="dxa"/>
            <w:vAlign w:val="center"/>
          </w:tcPr>
          <w:p>
            <w:pPr>
              <w:jc w:val="center"/>
            </w:pPr>
            <w:r>
              <w:rPr>
                <w:rFonts w:hint="eastAsia"/>
              </w:rPr>
              <w:t>Q=6.5m</w:t>
            </w:r>
            <w:r>
              <w:rPr>
                <w:rFonts w:hint="eastAsia"/>
                <w:vertAlign w:val="superscript"/>
              </w:rPr>
              <w:t>3</w:t>
            </w:r>
            <w:r>
              <w:rPr>
                <w:rFonts w:hint="eastAsia"/>
              </w:rPr>
              <w:t>/h,</w:t>
            </w:r>
          </w:p>
          <w:p>
            <w:pPr>
              <w:jc w:val="center"/>
            </w:pPr>
            <w:r>
              <w:rPr>
                <w:rFonts w:hint="eastAsia"/>
              </w:rPr>
              <w:t>H=40m,</w:t>
            </w:r>
          </w:p>
          <w:p>
            <w:pPr>
              <w:jc w:val="center"/>
            </w:pPr>
            <w:r>
              <w:rPr>
                <w:rFonts w:hint="eastAsia"/>
              </w:rPr>
              <w:t>P=3.0kW</w:t>
            </w:r>
          </w:p>
        </w:tc>
        <w:tc>
          <w:tcPr>
            <w:tcW w:w="1594" w:type="dxa"/>
            <w:vAlign w:val="center"/>
          </w:tcPr>
          <w:p>
            <w:pPr>
              <w:jc w:val="center"/>
            </w:pPr>
            <w:r>
              <w:rPr>
                <w:rFonts w:hint="eastAsia"/>
              </w:rPr>
              <w:t>35/50</w:t>
            </w:r>
          </w:p>
        </w:tc>
        <w:tc>
          <w:tcPr>
            <w:tcW w:w="1949" w:type="dxa"/>
            <w:vAlign w:val="center"/>
          </w:tcPr>
          <w:p>
            <w:pPr>
              <w:jc w:val="center"/>
            </w:pPr>
            <w:r>
              <w:rPr>
                <w:rFonts w:hint="eastAsia"/>
              </w:rPr>
              <w:t>0.3/0.4</w:t>
            </w:r>
          </w:p>
        </w:tc>
        <w:tc>
          <w:tcPr>
            <w:tcW w:w="1524" w:type="dxa"/>
            <w:vAlign w:val="center"/>
          </w:tcPr>
          <w:p>
            <w:pPr>
              <w:jc w:val="center"/>
            </w:pPr>
            <w:r>
              <w:rPr>
                <w:rFonts w:hint="eastAsia"/>
              </w:rPr>
              <w:t>液蜡</w:t>
            </w:r>
          </w:p>
        </w:tc>
        <w:tc>
          <w:tcPr>
            <w:tcW w:w="944" w:type="dxa"/>
            <w:vAlign w:val="center"/>
          </w:tcPr>
          <w:p>
            <w:pPr>
              <w:jc w:val="center"/>
            </w:pPr>
            <w:r>
              <w:rPr>
                <w:rFonts w:hint="eastAsia"/>
              </w:rPr>
              <w:t>新购</w:t>
            </w:r>
          </w:p>
        </w:tc>
        <w:tc>
          <w:tcPr>
            <w:tcW w:w="1131" w:type="dxa"/>
            <w:vAlign w:val="center"/>
          </w:tcPr>
          <w:p>
            <w:pPr>
              <w:jc w:val="center"/>
            </w:pPr>
            <w:r>
              <w:rPr>
                <w:rFonts w:hint="eastAsia"/>
              </w:rPr>
              <w:t>8</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73</w:t>
            </w:r>
          </w:p>
        </w:tc>
        <w:tc>
          <w:tcPr>
            <w:tcW w:w="1404" w:type="dxa"/>
            <w:vAlign w:val="center"/>
          </w:tcPr>
          <w:p>
            <w:pPr>
              <w:jc w:val="center"/>
            </w:pPr>
            <w:r>
              <w:rPr>
                <w:rFonts w:hint="eastAsia"/>
              </w:rPr>
              <w:t>氯化石蜡装车泵</w:t>
            </w:r>
          </w:p>
        </w:tc>
        <w:tc>
          <w:tcPr>
            <w:tcW w:w="1086" w:type="dxa"/>
            <w:vAlign w:val="center"/>
          </w:tcPr>
          <w:p>
            <w:pPr>
              <w:jc w:val="center"/>
            </w:pPr>
            <w:r>
              <w:rPr>
                <w:rFonts w:hint="eastAsia"/>
              </w:rPr>
              <w:t>钢衬超</w:t>
            </w:r>
          </w:p>
          <w:p>
            <w:pPr>
              <w:jc w:val="center"/>
            </w:pPr>
            <w:r>
              <w:rPr>
                <w:rFonts w:hint="eastAsia"/>
              </w:rPr>
              <w:t>高分</w:t>
            </w:r>
          </w:p>
          <w:p>
            <w:pPr>
              <w:jc w:val="center"/>
            </w:pPr>
            <w:r>
              <w:rPr>
                <w:rFonts w:hint="eastAsia"/>
              </w:rPr>
              <w:t>子量聚</w:t>
            </w:r>
          </w:p>
          <w:p>
            <w:pPr>
              <w:jc w:val="center"/>
            </w:pPr>
            <w:r>
              <w:rPr>
                <w:rFonts w:hint="eastAsia"/>
              </w:rPr>
              <w:t>乙烯</w:t>
            </w:r>
          </w:p>
        </w:tc>
        <w:tc>
          <w:tcPr>
            <w:tcW w:w="1028" w:type="dxa"/>
            <w:vAlign w:val="center"/>
          </w:tcPr>
          <w:p>
            <w:pPr>
              <w:jc w:val="center"/>
            </w:pPr>
            <w:r>
              <w:rPr>
                <w:rFonts w:hint="eastAsia"/>
              </w:rPr>
              <w:t>4</w:t>
            </w:r>
          </w:p>
        </w:tc>
        <w:tc>
          <w:tcPr>
            <w:tcW w:w="1819" w:type="dxa"/>
          </w:tcPr>
          <w:p>
            <w:pPr>
              <w:jc w:val="center"/>
            </w:pPr>
            <w:r>
              <w:rPr>
                <w:rFonts w:hint="eastAsia"/>
              </w:rPr>
              <w:t>Q=35m</w:t>
            </w:r>
            <w:r>
              <w:rPr>
                <w:rFonts w:hint="eastAsia"/>
                <w:vertAlign w:val="superscript"/>
              </w:rPr>
              <w:t>3</w:t>
            </w:r>
            <w:r>
              <w:rPr>
                <w:rFonts w:hint="eastAsia"/>
              </w:rPr>
              <w:t>/h,</w:t>
            </w:r>
          </w:p>
          <w:p>
            <w:pPr>
              <w:jc w:val="center"/>
            </w:pPr>
            <w:r>
              <w:rPr>
                <w:rFonts w:hint="eastAsia"/>
              </w:rPr>
              <w:t>H=25m,</w:t>
            </w:r>
          </w:p>
          <w:p>
            <w:pPr>
              <w:jc w:val="center"/>
            </w:pPr>
            <w:r>
              <w:rPr>
                <w:rFonts w:hint="eastAsia"/>
              </w:rPr>
              <w:t>P=5.5kW</w:t>
            </w:r>
          </w:p>
        </w:tc>
        <w:tc>
          <w:tcPr>
            <w:tcW w:w="1594" w:type="dxa"/>
            <w:vAlign w:val="center"/>
          </w:tcPr>
          <w:p>
            <w:pPr>
              <w:jc w:val="center"/>
            </w:pPr>
            <w:r>
              <w:rPr>
                <w:rFonts w:hint="eastAsia"/>
              </w:rPr>
              <w:t>50/120</w:t>
            </w:r>
          </w:p>
        </w:tc>
        <w:tc>
          <w:tcPr>
            <w:tcW w:w="1949" w:type="dxa"/>
            <w:vAlign w:val="center"/>
          </w:tcPr>
          <w:p>
            <w:pPr>
              <w:jc w:val="center"/>
            </w:pPr>
            <w:r>
              <w:rPr>
                <w:rFonts w:hint="eastAsia"/>
              </w:rPr>
              <w:t>0.3/0.4</w:t>
            </w:r>
          </w:p>
        </w:tc>
        <w:tc>
          <w:tcPr>
            <w:tcW w:w="1524" w:type="dxa"/>
            <w:vAlign w:val="center"/>
          </w:tcPr>
          <w:p>
            <w:pPr>
              <w:jc w:val="center"/>
            </w:pPr>
            <w:r>
              <w:rPr>
                <w:rFonts w:hint="eastAsia"/>
              </w:rPr>
              <w:t>氯化石蜡</w:t>
            </w:r>
          </w:p>
        </w:tc>
        <w:tc>
          <w:tcPr>
            <w:tcW w:w="944" w:type="dxa"/>
            <w:vAlign w:val="center"/>
          </w:tcPr>
          <w:p>
            <w:pPr>
              <w:jc w:val="center"/>
            </w:pPr>
            <w:r>
              <w:rPr>
                <w:rFonts w:hint="eastAsia"/>
              </w:rPr>
              <w:t>新购</w:t>
            </w:r>
          </w:p>
        </w:tc>
        <w:tc>
          <w:tcPr>
            <w:tcW w:w="1131" w:type="dxa"/>
            <w:vAlign w:val="center"/>
          </w:tcPr>
          <w:p>
            <w:pPr>
              <w:jc w:val="center"/>
            </w:pPr>
            <w:r>
              <w:rPr>
                <w:rFonts w:hint="eastAsia"/>
              </w:rPr>
              <w:t>4</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74</w:t>
            </w:r>
          </w:p>
        </w:tc>
        <w:tc>
          <w:tcPr>
            <w:tcW w:w="1404" w:type="dxa"/>
            <w:vAlign w:val="center"/>
          </w:tcPr>
          <w:p>
            <w:pPr>
              <w:jc w:val="center"/>
            </w:pPr>
            <w:r>
              <w:rPr>
                <w:rFonts w:hint="eastAsia"/>
              </w:rPr>
              <w:t>罐区盐酸输送泵</w:t>
            </w:r>
          </w:p>
        </w:tc>
        <w:tc>
          <w:tcPr>
            <w:tcW w:w="1086" w:type="dxa"/>
            <w:vAlign w:val="center"/>
          </w:tcPr>
          <w:p>
            <w:pPr>
              <w:jc w:val="center"/>
            </w:pPr>
            <w:r>
              <w:rPr>
                <w:rFonts w:hint="eastAsia"/>
              </w:rPr>
              <w:t>CS/PTFE</w:t>
            </w:r>
          </w:p>
        </w:tc>
        <w:tc>
          <w:tcPr>
            <w:tcW w:w="1028" w:type="dxa"/>
            <w:vAlign w:val="center"/>
          </w:tcPr>
          <w:p>
            <w:pPr>
              <w:jc w:val="center"/>
            </w:pPr>
            <w:r>
              <w:rPr>
                <w:rFonts w:hint="eastAsia"/>
              </w:rPr>
              <w:t>2</w:t>
            </w:r>
          </w:p>
        </w:tc>
        <w:tc>
          <w:tcPr>
            <w:tcW w:w="1819" w:type="dxa"/>
            <w:vAlign w:val="center"/>
          </w:tcPr>
          <w:p>
            <w:pPr>
              <w:jc w:val="center"/>
            </w:pPr>
            <w:r>
              <w:rPr>
                <w:rFonts w:hint="eastAsia"/>
              </w:rPr>
              <w:t>Q=35m</w:t>
            </w:r>
            <w:r>
              <w:rPr>
                <w:rFonts w:hint="eastAsia"/>
                <w:vertAlign w:val="superscript"/>
              </w:rPr>
              <w:t>3</w:t>
            </w:r>
            <w:r>
              <w:rPr>
                <w:rFonts w:hint="eastAsia"/>
              </w:rPr>
              <w:t>/h,</w:t>
            </w:r>
          </w:p>
          <w:p>
            <w:pPr>
              <w:jc w:val="center"/>
            </w:pPr>
            <w:r>
              <w:rPr>
                <w:rFonts w:hint="eastAsia"/>
              </w:rPr>
              <w:t>H=32m,</w:t>
            </w:r>
          </w:p>
          <w:p>
            <w:pPr>
              <w:jc w:val="center"/>
            </w:pPr>
            <w:r>
              <w:rPr>
                <w:rFonts w:hint="eastAsia"/>
              </w:rPr>
              <w:t>P=5.5kW</w:t>
            </w:r>
          </w:p>
        </w:tc>
        <w:tc>
          <w:tcPr>
            <w:tcW w:w="1594" w:type="dxa"/>
            <w:vAlign w:val="center"/>
          </w:tcPr>
          <w:p>
            <w:pPr>
              <w:jc w:val="center"/>
            </w:pPr>
            <w:r>
              <w:rPr>
                <w:rFonts w:hint="eastAsia"/>
              </w:rPr>
              <w:t>30/50</w:t>
            </w:r>
          </w:p>
        </w:tc>
        <w:tc>
          <w:tcPr>
            <w:tcW w:w="1949" w:type="dxa"/>
            <w:vAlign w:val="center"/>
          </w:tcPr>
          <w:p>
            <w:pPr>
              <w:jc w:val="center"/>
            </w:pPr>
            <w:r>
              <w:rPr>
                <w:rFonts w:hint="eastAsia"/>
              </w:rPr>
              <w:t>0.3/0.4</w:t>
            </w:r>
          </w:p>
        </w:tc>
        <w:tc>
          <w:tcPr>
            <w:tcW w:w="1524" w:type="dxa"/>
            <w:vAlign w:val="center"/>
          </w:tcPr>
          <w:p>
            <w:pPr>
              <w:jc w:val="center"/>
            </w:pPr>
            <w:r>
              <w:rPr>
                <w:rFonts w:hint="eastAsia"/>
              </w:rPr>
              <w:t>盐酸</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75</w:t>
            </w:r>
          </w:p>
        </w:tc>
        <w:tc>
          <w:tcPr>
            <w:tcW w:w="1404" w:type="dxa"/>
            <w:vAlign w:val="center"/>
          </w:tcPr>
          <w:p>
            <w:pPr>
              <w:jc w:val="center"/>
            </w:pPr>
            <w:r>
              <w:rPr>
                <w:rFonts w:hint="eastAsia"/>
              </w:rPr>
              <w:t>盐酸装车鹤管</w:t>
            </w:r>
          </w:p>
        </w:tc>
        <w:tc>
          <w:tcPr>
            <w:tcW w:w="1086" w:type="dxa"/>
            <w:vAlign w:val="center"/>
          </w:tcPr>
          <w:p>
            <w:pPr>
              <w:jc w:val="center"/>
            </w:pPr>
            <w:r>
              <w:rPr>
                <w:rFonts w:hint="eastAsia"/>
              </w:rPr>
              <w:t>CS/PTFE</w:t>
            </w:r>
          </w:p>
        </w:tc>
        <w:tc>
          <w:tcPr>
            <w:tcW w:w="1028" w:type="dxa"/>
            <w:vAlign w:val="center"/>
          </w:tcPr>
          <w:p>
            <w:pPr>
              <w:jc w:val="center"/>
            </w:pPr>
            <w:r>
              <w:rPr>
                <w:rFonts w:hint="eastAsia"/>
              </w:rPr>
              <w:t>4</w:t>
            </w:r>
          </w:p>
        </w:tc>
        <w:tc>
          <w:tcPr>
            <w:tcW w:w="1819" w:type="dxa"/>
            <w:vAlign w:val="center"/>
          </w:tcPr>
          <w:p>
            <w:pPr>
              <w:jc w:val="center"/>
            </w:pPr>
            <w:r>
              <w:rPr>
                <w:rFonts w:hint="eastAsia"/>
              </w:rPr>
              <w:t>/</w:t>
            </w:r>
          </w:p>
        </w:tc>
        <w:tc>
          <w:tcPr>
            <w:tcW w:w="1594" w:type="dxa"/>
            <w:vAlign w:val="center"/>
          </w:tcPr>
          <w:p>
            <w:pPr>
              <w:jc w:val="center"/>
            </w:pPr>
            <w:r>
              <w:rPr>
                <w:rFonts w:hint="eastAsia"/>
              </w:rPr>
              <w:t>30/50</w:t>
            </w:r>
          </w:p>
        </w:tc>
        <w:tc>
          <w:tcPr>
            <w:tcW w:w="1949" w:type="dxa"/>
            <w:vAlign w:val="center"/>
          </w:tcPr>
          <w:p>
            <w:pPr>
              <w:jc w:val="center"/>
            </w:pPr>
            <w:r>
              <w:rPr>
                <w:rFonts w:hint="eastAsia"/>
              </w:rPr>
              <w:t>0.3/0.4</w:t>
            </w:r>
          </w:p>
        </w:tc>
        <w:tc>
          <w:tcPr>
            <w:tcW w:w="1524" w:type="dxa"/>
            <w:vAlign w:val="center"/>
          </w:tcPr>
          <w:p>
            <w:pPr>
              <w:jc w:val="center"/>
            </w:pPr>
            <w:r>
              <w:rPr>
                <w:rFonts w:hint="eastAsia"/>
              </w:rPr>
              <w:t>盐酸</w:t>
            </w:r>
          </w:p>
        </w:tc>
        <w:tc>
          <w:tcPr>
            <w:tcW w:w="944" w:type="dxa"/>
            <w:vAlign w:val="center"/>
          </w:tcPr>
          <w:p>
            <w:pPr>
              <w:jc w:val="center"/>
            </w:pPr>
            <w:r>
              <w:rPr>
                <w:rFonts w:hint="eastAsia"/>
              </w:rPr>
              <w:t>新购</w:t>
            </w:r>
          </w:p>
        </w:tc>
        <w:tc>
          <w:tcPr>
            <w:tcW w:w="1131" w:type="dxa"/>
            <w:vAlign w:val="center"/>
          </w:tcPr>
          <w:p>
            <w:pPr>
              <w:jc w:val="center"/>
            </w:pPr>
            <w:r>
              <w:rPr>
                <w:rFonts w:hint="eastAsia"/>
              </w:rPr>
              <w:t>4</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6" w:type="dxa"/>
            <w:gridSpan w:val="11"/>
            <w:vAlign w:val="center"/>
          </w:tcPr>
          <w:p>
            <w:pPr>
              <w:jc w:val="center"/>
            </w:pPr>
            <w:r>
              <w:rPr>
                <w:b/>
                <w:bCs/>
              </w:rPr>
              <w:t>三、氯气缓冲及废氯吸收设备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76</w:t>
            </w:r>
          </w:p>
        </w:tc>
        <w:tc>
          <w:tcPr>
            <w:tcW w:w="1404" w:type="dxa"/>
            <w:vAlign w:val="center"/>
          </w:tcPr>
          <w:p>
            <w:pPr>
              <w:jc w:val="center"/>
            </w:pPr>
            <w:r>
              <w:rPr>
                <w:rFonts w:hint="eastAsia"/>
              </w:rPr>
              <w:t>氯气缓冲罐</w:t>
            </w:r>
          </w:p>
        </w:tc>
        <w:tc>
          <w:tcPr>
            <w:tcW w:w="1086" w:type="dxa"/>
            <w:vAlign w:val="center"/>
          </w:tcPr>
          <w:p>
            <w:pPr>
              <w:jc w:val="center"/>
            </w:pPr>
            <w:r>
              <w:rPr>
                <w:rFonts w:hint="eastAsia"/>
              </w:rPr>
              <w:t>Q345R</w:t>
            </w:r>
          </w:p>
        </w:tc>
        <w:tc>
          <w:tcPr>
            <w:tcW w:w="1028" w:type="dxa"/>
            <w:vAlign w:val="center"/>
          </w:tcPr>
          <w:p>
            <w:pPr>
              <w:jc w:val="center"/>
            </w:pPr>
            <w:r>
              <w:rPr>
                <w:rFonts w:hint="eastAsia"/>
              </w:rPr>
              <w:t>1</w:t>
            </w:r>
          </w:p>
        </w:tc>
        <w:tc>
          <w:tcPr>
            <w:tcW w:w="1819" w:type="dxa"/>
            <w:vAlign w:val="center"/>
          </w:tcPr>
          <w:p>
            <w:pPr>
              <w:jc w:val="center"/>
            </w:pPr>
            <w:r>
              <w:rPr>
                <w:rFonts w:hint="eastAsia"/>
              </w:rPr>
              <w:t>DN2400</w:t>
            </w:r>
            <w:r>
              <w:rPr>
                <w:rFonts w:ascii="Arial" w:hAnsi="Arial" w:cs="Arial"/>
              </w:rPr>
              <w:t>×</w:t>
            </w:r>
            <w:r>
              <w:rPr>
                <w:rFonts w:hint="eastAsia"/>
              </w:rPr>
              <w:t>3600;</w:t>
            </w:r>
          </w:p>
          <w:p>
            <w:pPr>
              <w:jc w:val="center"/>
            </w:pPr>
            <w:r>
              <w:rPr>
                <w:rFonts w:hint="eastAsia"/>
              </w:rPr>
              <w:t>V=21.7m</w:t>
            </w:r>
            <w:r>
              <w:rPr>
                <w:rFonts w:hint="eastAsia"/>
                <w:vertAlign w:val="superscript"/>
              </w:rPr>
              <w:t>3</w:t>
            </w:r>
          </w:p>
        </w:tc>
        <w:tc>
          <w:tcPr>
            <w:tcW w:w="1594" w:type="dxa"/>
            <w:vAlign w:val="center"/>
          </w:tcPr>
          <w:p>
            <w:pPr>
              <w:jc w:val="center"/>
            </w:pPr>
            <w:r>
              <w:rPr>
                <w:rFonts w:hint="eastAsia"/>
              </w:rPr>
              <w:t>-10~50/-</w:t>
            </w:r>
          </w:p>
          <w:p>
            <w:pPr>
              <w:jc w:val="center"/>
            </w:pPr>
            <w:r>
              <w:rPr>
                <w:rFonts w:hint="eastAsia"/>
              </w:rPr>
              <w:t>20~100</w:t>
            </w:r>
          </w:p>
        </w:tc>
        <w:tc>
          <w:tcPr>
            <w:tcW w:w="1949" w:type="dxa"/>
            <w:vAlign w:val="center"/>
          </w:tcPr>
          <w:p>
            <w:pPr>
              <w:jc w:val="center"/>
            </w:pPr>
            <w:r>
              <w:rPr>
                <w:rFonts w:hint="eastAsia"/>
              </w:rPr>
              <w:t>0.3/0.4</w:t>
            </w:r>
          </w:p>
        </w:tc>
        <w:tc>
          <w:tcPr>
            <w:tcW w:w="1524" w:type="dxa"/>
            <w:vAlign w:val="center"/>
          </w:tcPr>
          <w:p>
            <w:pPr>
              <w:jc w:val="center"/>
            </w:pPr>
            <w:r>
              <w:rPr>
                <w:rFonts w:hint="eastAsia"/>
              </w:rPr>
              <w:t>氯气</w:t>
            </w:r>
          </w:p>
        </w:tc>
        <w:tc>
          <w:tcPr>
            <w:tcW w:w="944" w:type="dxa"/>
            <w:vAlign w:val="center"/>
          </w:tcPr>
          <w:p>
            <w:pPr>
              <w:jc w:val="center"/>
            </w:pPr>
            <w:r>
              <w:rPr>
                <w:rFonts w:hint="eastAsia"/>
              </w:rPr>
              <w:t>新购</w:t>
            </w:r>
          </w:p>
        </w:tc>
        <w:tc>
          <w:tcPr>
            <w:tcW w:w="1131" w:type="dxa"/>
            <w:vAlign w:val="center"/>
          </w:tcPr>
          <w:p>
            <w:pPr>
              <w:jc w:val="center"/>
            </w:pPr>
            <w:r>
              <w:rPr>
                <w:rFonts w:hint="eastAsia"/>
              </w:rPr>
              <w:t>1</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77</w:t>
            </w:r>
          </w:p>
        </w:tc>
        <w:tc>
          <w:tcPr>
            <w:tcW w:w="1404" w:type="dxa"/>
            <w:vAlign w:val="center"/>
          </w:tcPr>
          <w:p>
            <w:pPr>
              <w:jc w:val="center"/>
            </w:pPr>
            <w:r>
              <w:rPr>
                <w:rFonts w:hint="eastAsia"/>
              </w:rPr>
              <w:t>伴热系统热水罐</w:t>
            </w:r>
          </w:p>
        </w:tc>
        <w:tc>
          <w:tcPr>
            <w:tcW w:w="1086" w:type="dxa"/>
            <w:vAlign w:val="center"/>
          </w:tcPr>
          <w:p>
            <w:pPr>
              <w:jc w:val="center"/>
            </w:pPr>
            <w:r>
              <w:rPr>
                <w:rFonts w:hint="eastAsia"/>
              </w:rPr>
              <w:t>CS</w:t>
            </w:r>
          </w:p>
        </w:tc>
        <w:tc>
          <w:tcPr>
            <w:tcW w:w="1028" w:type="dxa"/>
            <w:vAlign w:val="center"/>
          </w:tcPr>
          <w:p>
            <w:pPr>
              <w:jc w:val="center"/>
            </w:pPr>
            <w:r>
              <w:rPr>
                <w:rFonts w:hint="eastAsia"/>
              </w:rPr>
              <w:t>1</w:t>
            </w:r>
          </w:p>
        </w:tc>
        <w:tc>
          <w:tcPr>
            <w:tcW w:w="1819" w:type="dxa"/>
            <w:vAlign w:val="center"/>
          </w:tcPr>
          <w:p>
            <w:pPr>
              <w:jc w:val="center"/>
            </w:pPr>
            <w:r>
              <w:rPr>
                <w:rFonts w:hint="eastAsia"/>
              </w:rPr>
              <w:t>DN2800</w:t>
            </w:r>
            <w:r>
              <w:rPr>
                <w:rFonts w:ascii="Arial" w:hAnsi="Arial" w:cs="Arial"/>
              </w:rPr>
              <w:t>×</w:t>
            </w:r>
            <w:r>
              <w:rPr>
                <w:rFonts w:hint="eastAsia"/>
              </w:rPr>
              <w:t>5500;</w:t>
            </w:r>
          </w:p>
          <w:p>
            <w:pPr>
              <w:jc w:val="center"/>
            </w:pPr>
            <w:r>
              <w:rPr>
                <w:rFonts w:hint="eastAsia"/>
              </w:rPr>
              <w:t>V=30m</w:t>
            </w:r>
            <w:r>
              <w:rPr>
                <w:rFonts w:hint="eastAsia"/>
                <w:vertAlign w:val="superscript"/>
              </w:rPr>
              <w:t>3</w:t>
            </w:r>
          </w:p>
        </w:tc>
        <w:tc>
          <w:tcPr>
            <w:tcW w:w="1594" w:type="dxa"/>
            <w:vAlign w:val="center"/>
          </w:tcPr>
          <w:p>
            <w:pPr>
              <w:jc w:val="center"/>
            </w:pPr>
            <w:r>
              <w:rPr>
                <w:rFonts w:hint="eastAsia"/>
              </w:rPr>
              <w:t>100/150</w:t>
            </w:r>
          </w:p>
        </w:tc>
        <w:tc>
          <w:tcPr>
            <w:tcW w:w="1949" w:type="dxa"/>
            <w:vAlign w:val="center"/>
          </w:tcPr>
          <w:p>
            <w:pPr>
              <w:jc w:val="center"/>
            </w:pPr>
            <w:r>
              <w:rPr>
                <w:rFonts w:hint="eastAsia"/>
              </w:rPr>
              <w:t>常压</w:t>
            </w:r>
          </w:p>
        </w:tc>
        <w:tc>
          <w:tcPr>
            <w:tcW w:w="1524" w:type="dxa"/>
            <w:vAlign w:val="center"/>
          </w:tcPr>
          <w:p>
            <w:pPr>
              <w:jc w:val="center"/>
            </w:pPr>
            <w:r>
              <w:rPr>
                <w:rFonts w:hint="eastAsia"/>
              </w:rPr>
              <w:t>热水</w:t>
            </w:r>
          </w:p>
        </w:tc>
        <w:tc>
          <w:tcPr>
            <w:tcW w:w="944" w:type="dxa"/>
            <w:vAlign w:val="center"/>
          </w:tcPr>
          <w:p>
            <w:pPr>
              <w:jc w:val="center"/>
            </w:pPr>
            <w:r>
              <w:rPr>
                <w:rFonts w:hint="eastAsia"/>
              </w:rPr>
              <w:t>新购</w:t>
            </w:r>
          </w:p>
        </w:tc>
        <w:tc>
          <w:tcPr>
            <w:tcW w:w="1131" w:type="dxa"/>
            <w:vAlign w:val="center"/>
          </w:tcPr>
          <w:p>
            <w:pPr>
              <w:jc w:val="center"/>
            </w:pPr>
            <w:r>
              <w:rPr>
                <w:rFonts w:hint="eastAsia"/>
              </w:rPr>
              <w:t>1</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78</w:t>
            </w:r>
          </w:p>
        </w:tc>
        <w:tc>
          <w:tcPr>
            <w:tcW w:w="1404" w:type="dxa"/>
            <w:vAlign w:val="center"/>
          </w:tcPr>
          <w:p>
            <w:pPr>
              <w:jc w:val="center"/>
            </w:pPr>
            <w:r>
              <w:rPr>
                <w:rFonts w:hint="eastAsia"/>
              </w:rPr>
              <w:t>一级换热器</w:t>
            </w:r>
          </w:p>
        </w:tc>
        <w:tc>
          <w:tcPr>
            <w:tcW w:w="1086" w:type="dxa"/>
            <w:vAlign w:val="center"/>
          </w:tcPr>
          <w:p>
            <w:pPr>
              <w:jc w:val="center"/>
            </w:pPr>
            <w:r>
              <w:rPr>
                <w:rFonts w:hint="eastAsia"/>
              </w:rPr>
              <w:t>钛合金</w:t>
            </w:r>
          </w:p>
        </w:tc>
        <w:tc>
          <w:tcPr>
            <w:tcW w:w="1028" w:type="dxa"/>
            <w:vAlign w:val="center"/>
          </w:tcPr>
          <w:p>
            <w:pPr>
              <w:jc w:val="center"/>
            </w:pPr>
            <w:r>
              <w:rPr>
                <w:rFonts w:hint="eastAsia"/>
              </w:rPr>
              <w:t>2</w:t>
            </w:r>
          </w:p>
        </w:tc>
        <w:tc>
          <w:tcPr>
            <w:tcW w:w="1819" w:type="dxa"/>
            <w:vAlign w:val="center"/>
          </w:tcPr>
          <w:p>
            <w:pPr>
              <w:jc w:val="center"/>
            </w:pPr>
            <w:r>
              <w:rPr>
                <w:rFonts w:hint="eastAsia"/>
              </w:rPr>
              <w:t>F=20m</w:t>
            </w:r>
            <w:r>
              <w:rPr>
                <w:rFonts w:hint="eastAsia"/>
                <w:vertAlign w:val="superscript"/>
              </w:rPr>
              <w:t>2</w:t>
            </w:r>
          </w:p>
        </w:tc>
        <w:tc>
          <w:tcPr>
            <w:tcW w:w="1594" w:type="dxa"/>
            <w:vAlign w:val="center"/>
          </w:tcPr>
          <w:p>
            <w:pPr>
              <w:jc w:val="center"/>
            </w:pPr>
            <w:r>
              <w:rPr>
                <w:rFonts w:hint="eastAsia"/>
              </w:rPr>
              <w:t>管程：60/120</w:t>
            </w:r>
          </w:p>
          <w:p>
            <w:pPr>
              <w:jc w:val="center"/>
            </w:pPr>
            <w:r>
              <w:rPr>
                <w:rFonts w:hint="eastAsia"/>
              </w:rPr>
              <w:t>壳程：25/50</w:t>
            </w:r>
          </w:p>
        </w:tc>
        <w:tc>
          <w:tcPr>
            <w:tcW w:w="1949" w:type="dxa"/>
            <w:vAlign w:val="center"/>
          </w:tcPr>
          <w:p>
            <w:pPr>
              <w:jc w:val="center"/>
            </w:pPr>
            <w:r>
              <w:rPr>
                <w:rFonts w:hint="eastAsia"/>
              </w:rPr>
              <w:t>管程：0.5</w:t>
            </w:r>
            <w:r>
              <w:rPr>
                <w:rFonts w:hint="eastAsia"/>
                <w:lang w:val="en-US" w:eastAsia="zh-CN"/>
              </w:rPr>
              <w:t>/</w:t>
            </w:r>
            <w:r>
              <w:rPr>
                <w:rFonts w:hint="eastAsia"/>
              </w:rPr>
              <w:t>0.6</w:t>
            </w:r>
          </w:p>
          <w:p>
            <w:pPr>
              <w:jc w:val="center"/>
            </w:pPr>
            <w:r>
              <w:rPr>
                <w:rFonts w:hint="eastAsia"/>
              </w:rPr>
              <w:t>壳程：0.4</w:t>
            </w:r>
            <w:r>
              <w:rPr>
                <w:rFonts w:hint="eastAsia"/>
                <w:lang w:val="en-US" w:eastAsia="zh-CN"/>
              </w:rPr>
              <w:t>/</w:t>
            </w:r>
            <w:r>
              <w:rPr>
                <w:rFonts w:hint="eastAsia"/>
              </w:rPr>
              <w:t>0.5</w:t>
            </w:r>
          </w:p>
        </w:tc>
        <w:tc>
          <w:tcPr>
            <w:tcW w:w="1524" w:type="dxa"/>
            <w:vAlign w:val="center"/>
          </w:tcPr>
          <w:p>
            <w:pPr>
              <w:jc w:val="center"/>
            </w:pPr>
            <w:r>
              <w:rPr>
                <w:rFonts w:hint="eastAsia"/>
              </w:rPr>
              <w:t>容器：次氯酸</w:t>
            </w:r>
          </w:p>
          <w:p>
            <w:pPr>
              <w:jc w:val="center"/>
            </w:pPr>
            <w:r>
              <w:rPr>
                <w:rFonts w:hint="eastAsia"/>
              </w:rPr>
              <w:t>钠、碱液</w:t>
            </w:r>
          </w:p>
          <w:p>
            <w:pPr>
              <w:jc w:val="center"/>
            </w:pPr>
            <w:r>
              <w:rPr>
                <w:rFonts w:hint="eastAsia"/>
              </w:rPr>
              <w:t>夹套：循环水</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79</w:t>
            </w:r>
          </w:p>
        </w:tc>
        <w:tc>
          <w:tcPr>
            <w:tcW w:w="1404" w:type="dxa"/>
            <w:vAlign w:val="center"/>
          </w:tcPr>
          <w:p>
            <w:pPr>
              <w:jc w:val="center"/>
            </w:pPr>
            <w:r>
              <w:rPr>
                <w:rFonts w:hint="eastAsia"/>
              </w:rPr>
              <w:t>二级换热器</w:t>
            </w:r>
          </w:p>
        </w:tc>
        <w:tc>
          <w:tcPr>
            <w:tcW w:w="1086" w:type="dxa"/>
            <w:vAlign w:val="center"/>
          </w:tcPr>
          <w:p>
            <w:pPr>
              <w:jc w:val="center"/>
            </w:pPr>
            <w:r>
              <w:rPr>
                <w:rFonts w:hint="eastAsia"/>
              </w:rPr>
              <w:t>钛合金</w:t>
            </w:r>
          </w:p>
        </w:tc>
        <w:tc>
          <w:tcPr>
            <w:tcW w:w="1028" w:type="dxa"/>
            <w:vAlign w:val="center"/>
          </w:tcPr>
          <w:p>
            <w:pPr>
              <w:jc w:val="center"/>
            </w:pPr>
            <w:r>
              <w:rPr>
                <w:rFonts w:hint="eastAsia"/>
              </w:rPr>
              <w:t>2</w:t>
            </w:r>
          </w:p>
        </w:tc>
        <w:tc>
          <w:tcPr>
            <w:tcW w:w="1819" w:type="dxa"/>
            <w:vAlign w:val="center"/>
          </w:tcPr>
          <w:p>
            <w:pPr>
              <w:jc w:val="center"/>
            </w:pPr>
            <w:r>
              <w:rPr>
                <w:rFonts w:hint="eastAsia"/>
              </w:rPr>
              <w:t>F=20m</w:t>
            </w:r>
            <w:r>
              <w:rPr>
                <w:rFonts w:hint="eastAsia"/>
                <w:vertAlign w:val="superscript"/>
              </w:rPr>
              <w:t>2</w:t>
            </w:r>
          </w:p>
        </w:tc>
        <w:tc>
          <w:tcPr>
            <w:tcW w:w="1594" w:type="dxa"/>
            <w:vAlign w:val="center"/>
          </w:tcPr>
          <w:p>
            <w:pPr>
              <w:jc w:val="center"/>
            </w:pPr>
            <w:r>
              <w:rPr>
                <w:rFonts w:hint="eastAsia"/>
              </w:rPr>
              <w:t>管程：60/120</w:t>
            </w:r>
          </w:p>
        </w:tc>
        <w:tc>
          <w:tcPr>
            <w:tcW w:w="1949" w:type="dxa"/>
            <w:vAlign w:val="center"/>
          </w:tcPr>
          <w:p>
            <w:pPr>
              <w:jc w:val="center"/>
            </w:pPr>
            <w:r>
              <w:rPr>
                <w:rFonts w:hint="eastAsia"/>
              </w:rPr>
              <w:t>管程：0.5</w:t>
            </w:r>
            <w:r>
              <w:rPr>
                <w:rFonts w:hint="eastAsia"/>
                <w:lang w:val="en-US" w:eastAsia="zh-CN"/>
              </w:rPr>
              <w:t>/</w:t>
            </w:r>
            <w:r>
              <w:rPr>
                <w:rFonts w:hint="eastAsia"/>
              </w:rPr>
              <w:t>0.6</w:t>
            </w:r>
          </w:p>
        </w:tc>
        <w:tc>
          <w:tcPr>
            <w:tcW w:w="1524" w:type="dxa"/>
            <w:vAlign w:val="center"/>
          </w:tcPr>
          <w:p>
            <w:pPr>
              <w:jc w:val="center"/>
            </w:pPr>
            <w:r>
              <w:rPr>
                <w:rFonts w:hint="eastAsia"/>
              </w:rPr>
              <w:t>容器：次氯酸</w:t>
            </w:r>
          </w:p>
          <w:p>
            <w:pPr>
              <w:jc w:val="center"/>
            </w:pPr>
            <w:r>
              <w:rPr>
                <w:rFonts w:hint="eastAsia"/>
              </w:rPr>
              <w:t>钠、碱液</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80</w:t>
            </w:r>
          </w:p>
        </w:tc>
        <w:tc>
          <w:tcPr>
            <w:tcW w:w="1404" w:type="dxa"/>
            <w:vAlign w:val="center"/>
          </w:tcPr>
          <w:p>
            <w:pPr>
              <w:jc w:val="center"/>
            </w:pPr>
            <w:r>
              <w:rPr>
                <w:rFonts w:hint="eastAsia"/>
              </w:rPr>
              <w:t>伴热系统热水泵</w:t>
            </w:r>
          </w:p>
        </w:tc>
        <w:tc>
          <w:tcPr>
            <w:tcW w:w="1086" w:type="dxa"/>
            <w:vAlign w:val="center"/>
          </w:tcPr>
          <w:p>
            <w:pPr>
              <w:jc w:val="center"/>
            </w:pPr>
            <w:r>
              <w:rPr>
                <w:rFonts w:hint="eastAsia"/>
              </w:rPr>
              <w:t>CS</w:t>
            </w:r>
          </w:p>
        </w:tc>
        <w:tc>
          <w:tcPr>
            <w:tcW w:w="1028" w:type="dxa"/>
            <w:vAlign w:val="center"/>
          </w:tcPr>
          <w:p>
            <w:pPr>
              <w:jc w:val="center"/>
            </w:pPr>
            <w:r>
              <w:rPr>
                <w:rFonts w:hint="eastAsia"/>
              </w:rPr>
              <w:t>2</w:t>
            </w:r>
          </w:p>
        </w:tc>
        <w:tc>
          <w:tcPr>
            <w:tcW w:w="1819" w:type="dxa"/>
            <w:vAlign w:val="center"/>
          </w:tcPr>
          <w:p>
            <w:pPr>
              <w:jc w:val="center"/>
            </w:pPr>
            <w:r>
              <w:rPr>
                <w:rFonts w:hint="eastAsia"/>
              </w:rPr>
              <w:t>Q=32m</w:t>
            </w:r>
            <w:r>
              <w:rPr>
                <w:rFonts w:hint="eastAsia"/>
                <w:vertAlign w:val="superscript"/>
              </w:rPr>
              <w:t>3</w:t>
            </w:r>
            <w:r>
              <w:rPr>
                <w:rFonts w:hint="eastAsia"/>
              </w:rPr>
              <w:t>/h,</w:t>
            </w:r>
          </w:p>
          <w:p>
            <w:pPr>
              <w:jc w:val="center"/>
            </w:pPr>
            <w:r>
              <w:rPr>
                <w:rFonts w:hint="eastAsia"/>
              </w:rPr>
              <w:t>H=50m,</w:t>
            </w:r>
          </w:p>
          <w:p>
            <w:pPr>
              <w:jc w:val="center"/>
            </w:pPr>
            <w:r>
              <w:rPr>
                <w:rFonts w:hint="eastAsia"/>
              </w:rPr>
              <w:t>P=7.5kW</w:t>
            </w:r>
          </w:p>
        </w:tc>
        <w:tc>
          <w:tcPr>
            <w:tcW w:w="1594" w:type="dxa"/>
            <w:vAlign w:val="center"/>
          </w:tcPr>
          <w:p>
            <w:pPr>
              <w:jc w:val="center"/>
            </w:pPr>
            <w:r>
              <w:rPr>
                <w:rFonts w:hint="eastAsia"/>
              </w:rPr>
              <w:t>80/120</w:t>
            </w:r>
          </w:p>
        </w:tc>
        <w:tc>
          <w:tcPr>
            <w:tcW w:w="1949" w:type="dxa"/>
            <w:vAlign w:val="center"/>
          </w:tcPr>
          <w:p>
            <w:pPr>
              <w:jc w:val="center"/>
            </w:pPr>
            <w:r>
              <w:rPr>
                <w:rFonts w:hint="eastAsia"/>
              </w:rPr>
              <w:t>0.3/0.4</w:t>
            </w:r>
          </w:p>
        </w:tc>
        <w:tc>
          <w:tcPr>
            <w:tcW w:w="1524" w:type="dxa"/>
            <w:vAlign w:val="center"/>
          </w:tcPr>
          <w:p>
            <w:pPr>
              <w:jc w:val="center"/>
            </w:pPr>
            <w:r>
              <w:rPr>
                <w:rFonts w:hint="eastAsia"/>
              </w:rPr>
              <w:t>热水</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81</w:t>
            </w:r>
          </w:p>
        </w:tc>
        <w:tc>
          <w:tcPr>
            <w:tcW w:w="1404" w:type="dxa"/>
            <w:vAlign w:val="center"/>
          </w:tcPr>
          <w:p>
            <w:pPr>
              <w:jc w:val="center"/>
            </w:pPr>
            <w:r>
              <w:rPr>
                <w:rFonts w:hint="eastAsia"/>
              </w:rPr>
              <w:t>吸收循环泵</w:t>
            </w:r>
          </w:p>
        </w:tc>
        <w:tc>
          <w:tcPr>
            <w:tcW w:w="1086" w:type="dxa"/>
            <w:vAlign w:val="center"/>
          </w:tcPr>
          <w:p>
            <w:pPr>
              <w:jc w:val="center"/>
            </w:pPr>
            <w:r>
              <w:rPr>
                <w:rFonts w:hint="eastAsia"/>
              </w:rPr>
              <w:t>CS/PTFE</w:t>
            </w:r>
          </w:p>
        </w:tc>
        <w:tc>
          <w:tcPr>
            <w:tcW w:w="1028" w:type="dxa"/>
            <w:vAlign w:val="center"/>
          </w:tcPr>
          <w:p>
            <w:pPr>
              <w:jc w:val="center"/>
            </w:pPr>
            <w:r>
              <w:rPr>
                <w:rFonts w:hint="eastAsia"/>
              </w:rPr>
              <w:t>2</w:t>
            </w:r>
          </w:p>
        </w:tc>
        <w:tc>
          <w:tcPr>
            <w:tcW w:w="1819" w:type="dxa"/>
            <w:vAlign w:val="center"/>
          </w:tcPr>
          <w:p>
            <w:pPr>
              <w:jc w:val="center"/>
            </w:pPr>
            <w:r>
              <w:rPr>
                <w:rFonts w:hint="eastAsia"/>
              </w:rPr>
              <w:t>Q=25m</w:t>
            </w:r>
            <w:r>
              <w:rPr>
                <w:rFonts w:hint="eastAsia"/>
                <w:vertAlign w:val="superscript"/>
              </w:rPr>
              <w:t>3</w:t>
            </w:r>
            <w:r>
              <w:rPr>
                <w:rFonts w:hint="eastAsia"/>
              </w:rPr>
              <w:t>/h,</w:t>
            </w:r>
          </w:p>
          <w:p>
            <w:pPr>
              <w:jc w:val="center"/>
            </w:pPr>
            <w:r>
              <w:rPr>
                <w:rFonts w:hint="eastAsia"/>
              </w:rPr>
              <w:t>H=30m,</w:t>
            </w:r>
          </w:p>
          <w:p>
            <w:pPr>
              <w:jc w:val="center"/>
            </w:pPr>
            <w:r>
              <w:rPr>
                <w:rFonts w:hint="eastAsia"/>
              </w:rPr>
              <w:t>P=5.5kW</w:t>
            </w:r>
          </w:p>
        </w:tc>
        <w:tc>
          <w:tcPr>
            <w:tcW w:w="1594" w:type="dxa"/>
            <w:vAlign w:val="center"/>
          </w:tcPr>
          <w:p>
            <w:pPr>
              <w:jc w:val="center"/>
            </w:pPr>
            <w:r>
              <w:rPr>
                <w:rFonts w:hint="eastAsia"/>
              </w:rPr>
              <w:t>80/120</w:t>
            </w:r>
          </w:p>
        </w:tc>
        <w:tc>
          <w:tcPr>
            <w:tcW w:w="1949" w:type="dxa"/>
            <w:vAlign w:val="center"/>
          </w:tcPr>
          <w:p>
            <w:pPr>
              <w:jc w:val="center"/>
            </w:pPr>
            <w:r>
              <w:rPr>
                <w:rFonts w:hint="eastAsia"/>
              </w:rPr>
              <w:t>0.3/0.4</w:t>
            </w:r>
          </w:p>
        </w:tc>
        <w:tc>
          <w:tcPr>
            <w:tcW w:w="1524" w:type="dxa"/>
            <w:vAlign w:val="center"/>
          </w:tcPr>
          <w:p>
            <w:pPr>
              <w:jc w:val="center"/>
            </w:pPr>
            <w:r>
              <w:rPr>
                <w:rFonts w:hint="eastAsia"/>
              </w:rPr>
              <w:t>次氯酸钠、液碱</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82</w:t>
            </w:r>
          </w:p>
        </w:tc>
        <w:tc>
          <w:tcPr>
            <w:tcW w:w="1404" w:type="dxa"/>
            <w:vAlign w:val="center"/>
          </w:tcPr>
          <w:p>
            <w:pPr>
              <w:jc w:val="center"/>
            </w:pPr>
            <w:r>
              <w:rPr>
                <w:rFonts w:hint="eastAsia"/>
              </w:rPr>
              <w:t>吸收循环泵</w:t>
            </w:r>
          </w:p>
        </w:tc>
        <w:tc>
          <w:tcPr>
            <w:tcW w:w="1086" w:type="dxa"/>
            <w:vAlign w:val="center"/>
          </w:tcPr>
          <w:p>
            <w:pPr>
              <w:jc w:val="center"/>
            </w:pPr>
            <w:r>
              <w:rPr>
                <w:rFonts w:hint="eastAsia"/>
              </w:rPr>
              <w:t>CS/PTFE</w:t>
            </w:r>
          </w:p>
        </w:tc>
        <w:tc>
          <w:tcPr>
            <w:tcW w:w="1028" w:type="dxa"/>
            <w:vAlign w:val="center"/>
          </w:tcPr>
          <w:p>
            <w:pPr>
              <w:jc w:val="center"/>
            </w:pPr>
            <w:r>
              <w:rPr>
                <w:rFonts w:hint="eastAsia"/>
              </w:rPr>
              <w:t>2</w:t>
            </w:r>
          </w:p>
        </w:tc>
        <w:tc>
          <w:tcPr>
            <w:tcW w:w="1819" w:type="dxa"/>
            <w:vAlign w:val="center"/>
          </w:tcPr>
          <w:p>
            <w:pPr>
              <w:jc w:val="center"/>
            </w:pPr>
            <w:r>
              <w:rPr>
                <w:rFonts w:hint="eastAsia"/>
              </w:rPr>
              <w:t>Q=25m</w:t>
            </w:r>
            <w:r>
              <w:rPr>
                <w:rFonts w:hint="eastAsia"/>
                <w:vertAlign w:val="superscript"/>
              </w:rPr>
              <w:t>3</w:t>
            </w:r>
            <w:r>
              <w:rPr>
                <w:rFonts w:hint="eastAsia"/>
              </w:rPr>
              <w:t>/h,</w:t>
            </w:r>
          </w:p>
          <w:p>
            <w:pPr>
              <w:jc w:val="center"/>
            </w:pPr>
            <w:r>
              <w:rPr>
                <w:rFonts w:hint="eastAsia"/>
              </w:rPr>
              <w:t>H=30m,</w:t>
            </w:r>
          </w:p>
          <w:p>
            <w:pPr>
              <w:jc w:val="center"/>
            </w:pPr>
            <w:r>
              <w:rPr>
                <w:rFonts w:hint="eastAsia"/>
              </w:rPr>
              <w:t>P=5.5kW</w:t>
            </w:r>
          </w:p>
        </w:tc>
        <w:tc>
          <w:tcPr>
            <w:tcW w:w="1594" w:type="dxa"/>
            <w:vAlign w:val="center"/>
          </w:tcPr>
          <w:p>
            <w:pPr>
              <w:jc w:val="center"/>
            </w:pPr>
            <w:r>
              <w:rPr>
                <w:rFonts w:hint="eastAsia"/>
              </w:rPr>
              <w:t>80/120</w:t>
            </w:r>
          </w:p>
        </w:tc>
        <w:tc>
          <w:tcPr>
            <w:tcW w:w="1949" w:type="dxa"/>
            <w:vAlign w:val="center"/>
          </w:tcPr>
          <w:p>
            <w:pPr>
              <w:jc w:val="center"/>
            </w:pPr>
            <w:r>
              <w:rPr>
                <w:rFonts w:hint="eastAsia"/>
              </w:rPr>
              <w:t>0.3/0.4</w:t>
            </w:r>
          </w:p>
        </w:tc>
        <w:tc>
          <w:tcPr>
            <w:tcW w:w="1524" w:type="dxa"/>
            <w:vAlign w:val="center"/>
          </w:tcPr>
          <w:p>
            <w:pPr>
              <w:jc w:val="center"/>
            </w:pPr>
            <w:r>
              <w:rPr>
                <w:rFonts w:hint="eastAsia"/>
              </w:rPr>
              <w:t>次氯酸钠、液碱</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83</w:t>
            </w:r>
          </w:p>
        </w:tc>
        <w:tc>
          <w:tcPr>
            <w:tcW w:w="1404" w:type="dxa"/>
            <w:vAlign w:val="center"/>
          </w:tcPr>
          <w:p>
            <w:pPr>
              <w:jc w:val="center"/>
            </w:pPr>
            <w:r>
              <w:rPr>
                <w:rFonts w:hint="eastAsia"/>
              </w:rPr>
              <w:t>吸收循环泵</w:t>
            </w:r>
          </w:p>
        </w:tc>
        <w:tc>
          <w:tcPr>
            <w:tcW w:w="1086" w:type="dxa"/>
            <w:vAlign w:val="center"/>
          </w:tcPr>
          <w:p>
            <w:pPr>
              <w:jc w:val="center"/>
            </w:pPr>
            <w:r>
              <w:rPr>
                <w:rFonts w:hint="eastAsia"/>
              </w:rPr>
              <w:t>CS/PTFE</w:t>
            </w:r>
          </w:p>
        </w:tc>
        <w:tc>
          <w:tcPr>
            <w:tcW w:w="1028" w:type="dxa"/>
            <w:vAlign w:val="center"/>
          </w:tcPr>
          <w:p>
            <w:pPr>
              <w:jc w:val="center"/>
            </w:pPr>
            <w:r>
              <w:rPr>
                <w:rFonts w:hint="eastAsia"/>
              </w:rPr>
              <w:t>2</w:t>
            </w:r>
          </w:p>
        </w:tc>
        <w:tc>
          <w:tcPr>
            <w:tcW w:w="1819" w:type="dxa"/>
            <w:vAlign w:val="center"/>
          </w:tcPr>
          <w:p>
            <w:pPr>
              <w:jc w:val="center"/>
            </w:pPr>
            <w:r>
              <w:rPr>
                <w:rFonts w:hint="eastAsia"/>
              </w:rPr>
              <w:t>Q=25m3/h,</w:t>
            </w:r>
          </w:p>
          <w:p>
            <w:pPr>
              <w:jc w:val="center"/>
            </w:pPr>
            <w:r>
              <w:rPr>
                <w:rFonts w:hint="eastAsia"/>
              </w:rPr>
              <w:t>H=30m,</w:t>
            </w:r>
          </w:p>
          <w:p>
            <w:pPr>
              <w:jc w:val="center"/>
            </w:pPr>
            <w:r>
              <w:rPr>
                <w:rFonts w:hint="eastAsia"/>
              </w:rPr>
              <w:t>P=5.5kW</w:t>
            </w:r>
          </w:p>
        </w:tc>
        <w:tc>
          <w:tcPr>
            <w:tcW w:w="1594" w:type="dxa"/>
            <w:vAlign w:val="center"/>
          </w:tcPr>
          <w:p>
            <w:pPr>
              <w:jc w:val="center"/>
            </w:pPr>
            <w:r>
              <w:rPr>
                <w:rFonts w:hint="eastAsia"/>
              </w:rPr>
              <w:t>80/120</w:t>
            </w:r>
          </w:p>
        </w:tc>
        <w:tc>
          <w:tcPr>
            <w:tcW w:w="1949" w:type="dxa"/>
            <w:vAlign w:val="center"/>
          </w:tcPr>
          <w:p>
            <w:pPr>
              <w:jc w:val="center"/>
            </w:pPr>
            <w:r>
              <w:rPr>
                <w:rFonts w:hint="eastAsia"/>
              </w:rPr>
              <w:t>0.3/0.4</w:t>
            </w:r>
          </w:p>
        </w:tc>
        <w:tc>
          <w:tcPr>
            <w:tcW w:w="1524" w:type="dxa"/>
            <w:vAlign w:val="center"/>
          </w:tcPr>
          <w:p>
            <w:pPr>
              <w:jc w:val="center"/>
            </w:pPr>
            <w:r>
              <w:rPr>
                <w:rFonts w:hint="eastAsia"/>
              </w:rPr>
              <w:t>盐酸</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84</w:t>
            </w:r>
          </w:p>
        </w:tc>
        <w:tc>
          <w:tcPr>
            <w:tcW w:w="1404" w:type="dxa"/>
            <w:vAlign w:val="center"/>
          </w:tcPr>
          <w:p>
            <w:pPr>
              <w:jc w:val="center"/>
            </w:pPr>
            <w:r>
              <w:rPr>
                <w:rFonts w:hint="eastAsia"/>
              </w:rPr>
              <w:t>吸收循环泵</w:t>
            </w:r>
          </w:p>
        </w:tc>
        <w:tc>
          <w:tcPr>
            <w:tcW w:w="1086" w:type="dxa"/>
            <w:vAlign w:val="center"/>
          </w:tcPr>
          <w:p>
            <w:pPr>
              <w:jc w:val="center"/>
            </w:pPr>
            <w:r>
              <w:rPr>
                <w:rFonts w:hint="eastAsia"/>
              </w:rPr>
              <w:t>CS/PTFE</w:t>
            </w:r>
          </w:p>
        </w:tc>
        <w:tc>
          <w:tcPr>
            <w:tcW w:w="1028" w:type="dxa"/>
            <w:vAlign w:val="center"/>
          </w:tcPr>
          <w:p>
            <w:pPr>
              <w:jc w:val="center"/>
            </w:pPr>
            <w:r>
              <w:rPr>
                <w:rFonts w:hint="eastAsia"/>
              </w:rPr>
              <w:t>2</w:t>
            </w:r>
          </w:p>
        </w:tc>
        <w:tc>
          <w:tcPr>
            <w:tcW w:w="1819" w:type="dxa"/>
            <w:vAlign w:val="center"/>
          </w:tcPr>
          <w:p>
            <w:pPr>
              <w:jc w:val="center"/>
            </w:pPr>
            <w:r>
              <w:rPr>
                <w:rFonts w:hint="eastAsia"/>
              </w:rPr>
              <w:t>Q=25m</w:t>
            </w:r>
            <w:r>
              <w:rPr>
                <w:rFonts w:hint="eastAsia"/>
                <w:vertAlign w:val="superscript"/>
              </w:rPr>
              <w:t>3</w:t>
            </w:r>
            <w:r>
              <w:rPr>
                <w:rFonts w:hint="eastAsia"/>
              </w:rPr>
              <w:t>/h,</w:t>
            </w:r>
          </w:p>
          <w:p>
            <w:pPr>
              <w:jc w:val="center"/>
            </w:pPr>
            <w:r>
              <w:rPr>
                <w:rFonts w:hint="eastAsia"/>
              </w:rPr>
              <w:t>H=30m,P=5.5kW</w:t>
            </w:r>
          </w:p>
        </w:tc>
        <w:tc>
          <w:tcPr>
            <w:tcW w:w="1594" w:type="dxa"/>
            <w:vAlign w:val="center"/>
          </w:tcPr>
          <w:p>
            <w:pPr>
              <w:jc w:val="center"/>
            </w:pPr>
            <w:r>
              <w:rPr>
                <w:rFonts w:hint="eastAsia"/>
              </w:rPr>
              <w:t>80/120</w:t>
            </w:r>
          </w:p>
        </w:tc>
        <w:tc>
          <w:tcPr>
            <w:tcW w:w="1949" w:type="dxa"/>
            <w:vAlign w:val="center"/>
          </w:tcPr>
          <w:p>
            <w:pPr>
              <w:jc w:val="center"/>
            </w:pPr>
            <w:r>
              <w:rPr>
                <w:rFonts w:hint="eastAsia"/>
              </w:rPr>
              <w:t>0.3/0.4</w:t>
            </w:r>
          </w:p>
        </w:tc>
        <w:tc>
          <w:tcPr>
            <w:tcW w:w="1524" w:type="dxa"/>
            <w:vAlign w:val="center"/>
          </w:tcPr>
          <w:p>
            <w:pPr>
              <w:jc w:val="center"/>
            </w:pPr>
            <w:r>
              <w:rPr>
                <w:rFonts w:hint="eastAsia"/>
              </w:rPr>
              <w:t>盐酸</w:t>
            </w:r>
          </w:p>
        </w:tc>
        <w:tc>
          <w:tcPr>
            <w:tcW w:w="944" w:type="dxa"/>
            <w:vAlign w:val="center"/>
          </w:tcPr>
          <w:p>
            <w:pPr>
              <w:jc w:val="center"/>
            </w:pPr>
            <w:r>
              <w:rPr>
                <w:rFonts w:hint="eastAsia"/>
              </w:rPr>
              <w:t>新购</w:t>
            </w:r>
          </w:p>
        </w:tc>
        <w:tc>
          <w:tcPr>
            <w:tcW w:w="1131" w:type="dxa"/>
            <w:vAlign w:val="center"/>
          </w:tcPr>
          <w:p>
            <w:pPr>
              <w:jc w:val="center"/>
            </w:pPr>
            <w:r>
              <w:rPr>
                <w:rFonts w:hint="eastAsia"/>
              </w:rPr>
              <w:t>2</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85</w:t>
            </w:r>
          </w:p>
        </w:tc>
        <w:tc>
          <w:tcPr>
            <w:tcW w:w="1404" w:type="dxa"/>
            <w:vAlign w:val="center"/>
          </w:tcPr>
          <w:p>
            <w:pPr>
              <w:jc w:val="center"/>
            </w:pPr>
            <w:r>
              <w:rPr>
                <w:rFonts w:hint="eastAsia"/>
              </w:rPr>
              <w:t>引风机</w:t>
            </w:r>
          </w:p>
        </w:tc>
        <w:tc>
          <w:tcPr>
            <w:tcW w:w="1086" w:type="dxa"/>
            <w:vAlign w:val="center"/>
          </w:tcPr>
          <w:p>
            <w:pPr>
              <w:jc w:val="center"/>
            </w:pPr>
            <w:r>
              <w:rPr>
                <w:rFonts w:hint="eastAsia"/>
              </w:rPr>
              <w:t>钛合金</w:t>
            </w:r>
          </w:p>
        </w:tc>
        <w:tc>
          <w:tcPr>
            <w:tcW w:w="1028" w:type="dxa"/>
            <w:vAlign w:val="center"/>
          </w:tcPr>
          <w:p>
            <w:pPr>
              <w:jc w:val="center"/>
            </w:pPr>
            <w:r>
              <w:rPr>
                <w:rFonts w:hint="eastAsia"/>
              </w:rPr>
              <w:t>4</w:t>
            </w:r>
          </w:p>
        </w:tc>
        <w:tc>
          <w:tcPr>
            <w:tcW w:w="1819" w:type="dxa"/>
            <w:vAlign w:val="center"/>
          </w:tcPr>
          <w:p>
            <w:pPr>
              <w:jc w:val="center"/>
            </w:pPr>
            <w:r>
              <w:rPr>
                <w:rFonts w:hint="eastAsia"/>
              </w:rPr>
              <w:t>风量：25000m</w:t>
            </w:r>
            <w:r>
              <w:rPr>
                <w:rFonts w:hint="eastAsia"/>
                <w:vertAlign w:val="superscript"/>
              </w:rPr>
              <w:t>3</w:t>
            </w:r>
            <w:r>
              <w:rPr>
                <w:rFonts w:hint="eastAsia"/>
              </w:rPr>
              <w:t>/h</w:t>
            </w:r>
          </w:p>
        </w:tc>
        <w:tc>
          <w:tcPr>
            <w:tcW w:w="1594" w:type="dxa"/>
            <w:vAlign w:val="center"/>
          </w:tcPr>
          <w:p>
            <w:pPr>
              <w:jc w:val="center"/>
            </w:pPr>
            <w:r>
              <w:rPr>
                <w:rFonts w:hint="eastAsia"/>
              </w:rPr>
              <w:t>30/50</w:t>
            </w:r>
          </w:p>
        </w:tc>
        <w:tc>
          <w:tcPr>
            <w:tcW w:w="1949" w:type="dxa"/>
            <w:vAlign w:val="center"/>
          </w:tcPr>
          <w:p>
            <w:pPr>
              <w:jc w:val="center"/>
            </w:pPr>
            <w:r>
              <w:rPr>
                <w:rFonts w:hint="eastAsia"/>
              </w:rPr>
              <w:t>-0.03</w:t>
            </w:r>
            <w:r>
              <w:rPr>
                <w:rFonts w:hint="eastAsia"/>
                <w:lang w:val="en-US" w:eastAsia="zh-CN"/>
              </w:rPr>
              <w:t>/</w:t>
            </w:r>
            <w:r>
              <w:rPr>
                <w:rFonts w:hint="eastAsia"/>
              </w:rPr>
              <w:t>常压</w:t>
            </w:r>
          </w:p>
        </w:tc>
        <w:tc>
          <w:tcPr>
            <w:tcW w:w="1524" w:type="dxa"/>
            <w:vAlign w:val="center"/>
          </w:tcPr>
          <w:p>
            <w:pPr>
              <w:jc w:val="center"/>
            </w:pPr>
            <w:r>
              <w:rPr>
                <w:rFonts w:hint="eastAsia"/>
              </w:rPr>
              <w:t>空气、氯气</w:t>
            </w:r>
          </w:p>
        </w:tc>
        <w:tc>
          <w:tcPr>
            <w:tcW w:w="944" w:type="dxa"/>
            <w:vAlign w:val="center"/>
          </w:tcPr>
          <w:p>
            <w:pPr>
              <w:jc w:val="center"/>
            </w:pPr>
            <w:r>
              <w:rPr>
                <w:rFonts w:hint="eastAsia"/>
              </w:rPr>
              <w:t>新购</w:t>
            </w:r>
          </w:p>
        </w:tc>
        <w:tc>
          <w:tcPr>
            <w:tcW w:w="1131" w:type="dxa"/>
          </w:tcPr>
          <w:p>
            <w:pPr>
              <w:jc w:val="center"/>
            </w:pPr>
          </w:p>
        </w:tc>
        <w:tc>
          <w:tcPr>
            <w:tcW w:w="933" w:type="dxa"/>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86</w:t>
            </w:r>
          </w:p>
        </w:tc>
        <w:tc>
          <w:tcPr>
            <w:tcW w:w="1404" w:type="dxa"/>
            <w:vAlign w:val="center"/>
          </w:tcPr>
          <w:p>
            <w:pPr>
              <w:jc w:val="center"/>
            </w:pPr>
            <w:r>
              <w:rPr>
                <w:rFonts w:hint="eastAsia"/>
              </w:rPr>
              <w:t>一级吸收塔</w:t>
            </w:r>
          </w:p>
        </w:tc>
        <w:tc>
          <w:tcPr>
            <w:tcW w:w="1086" w:type="dxa"/>
            <w:vAlign w:val="center"/>
          </w:tcPr>
          <w:p>
            <w:pPr>
              <w:jc w:val="center"/>
            </w:pPr>
            <w:r>
              <w:rPr>
                <w:rFonts w:hint="eastAsia"/>
              </w:rPr>
              <w:t>PVC/FRP</w:t>
            </w:r>
          </w:p>
        </w:tc>
        <w:tc>
          <w:tcPr>
            <w:tcW w:w="1028" w:type="dxa"/>
            <w:vAlign w:val="center"/>
          </w:tcPr>
          <w:p>
            <w:pPr>
              <w:jc w:val="center"/>
            </w:pPr>
            <w:r>
              <w:rPr>
                <w:rFonts w:hint="eastAsia"/>
              </w:rPr>
              <w:t>1</w:t>
            </w:r>
          </w:p>
        </w:tc>
        <w:tc>
          <w:tcPr>
            <w:tcW w:w="1819" w:type="dxa"/>
            <w:vAlign w:val="center"/>
          </w:tcPr>
          <w:p>
            <w:pPr>
              <w:jc w:val="center"/>
            </w:pPr>
            <w:r>
              <w:rPr>
                <w:rFonts w:hint="eastAsia"/>
              </w:rPr>
              <w:t>DN1200</w:t>
            </w:r>
            <w:r>
              <w:rPr>
                <w:rFonts w:ascii="Arial" w:hAnsi="Arial" w:cs="Arial"/>
              </w:rPr>
              <w:t>×</w:t>
            </w:r>
            <w:r>
              <w:rPr>
                <w:rFonts w:hint="eastAsia"/>
              </w:rPr>
              <w:t>13000</w:t>
            </w:r>
          </w:p>
          <w:p>
            <w:pPr>
              <w:jc w:val="center"/>
            </w:pPr>
            <w:r>
              <w:rPr>
                <w:rFonts w:hint="eastAsia"/>
              </w:rPr>
              <w:t>(H)</w:t>
            </w:r>
          </w:p>
        </w:tc>
        <w:tc>
          <w:tcPr>
            <w:tcW w:w="1594" w:type="dxa"/>
            <w:vAlign w:val="center"/>
          </w:tcPr>
          <w:p>
            <w:pPr>
              <w:jc w:val="center"/>
            </w:pPr>
            <w:r>
              <w:rPr>
                <w:rFonts w:hint="eastAsia"/>
              </w:rPr>
              <w:t>80/140</w:t>
            </w:r>
          </w:p>
        </w:tc>
        <w:tc>
          <w:tcPr>
            <w:tcW w:w="1949" w:type="dxa"/>
            <w:vAlign w:val="center"/>
          </w:tcPr>
          <w:p>
            <w:pPr>
              <w:jc w:val="center"/>
            </w:pPr>
            <w:r>
              <w:rPr>
                <w:rFonts w:hint="eastAsia"/>
              </w:rPr>
              <w:t>-0.005</w:t>
            </w:r>
            <w:r>
              <w:rPr>
                <w:rFonts w:hint="eastAsia"/>
                <w:lang w:val="en-US" w:eastAsia="zh-CN"/>
              </w:rPr>
              <w:t>/</w:t>
            </w:r>
            <w:r>
              <w:rPr>
                <w:rFonts w:hint="eastAsia"/>
              </w:rPr>
              <w:t>常压</w:t>
            </w:r>
          </w:p>
        </w:tc>
        <w:tc>
          <w:tcPr>
            <w:tcW w:w="1524" w:type="dxa"/>
            <w:vAlign w:val="center"/>
          </w:tcPr>
          <w:p>
            <w:pPr>
              <w:jc w:val="center"/>
            </w:pPr>
            <w:r>
              <w:rPr>
                <w:rFonts w:hint="eastAsia"/>
              </w:rPr>
              <w:t>次氯酸钠溶液、20％液碱、氯气、氯化氢气体</w:t>
            </w:r>
          </w:p>
        </w:tc>
        <w:tc>
          <w:tcPr>
            <w:tcW w:w="944" w:type="dxa"/>
            <w:vAlign w:val="center"/>
          </w:tcPr>
          <w:p>
            <w:pPr>
              <w:jc w:val="center"/>
            </w:pPr>
            <w:r>
              <w:rPr>
                <w:rFonts w:hint="eastAsia"/>
              </w:rPr>
              <w:t>新购</w:t>
            </w:r>
          </w:p>
        </w:tc>
        <w:tc>
          <w:tcPr>
            <w:tcW w:w="1131" w:type="dxa"/>
            <w:vAlign w:val="center"/>
          </w:tcPr>
          <w:p>
            <w:pPr>
              <w:jc w:val="center"/>
            </w:pPr>
            <w:r>
              <w:rPr>
                <w:rFonts w:hint="eastAsia"/>
              </w:rPr>
              <w:t>1</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pPr>
              <w:jc w:val="center"/>
            </w:pPr>
            <w:r>
              <w:rPr>
                <w:rFonts w:hint="eastAsia"/>
              </w:rPr>
              <w:t>87</w:t>
            </w:r>
          </w:p>
        </w:tc>
        <w:tc>
          <w:tcPr>
            <w:tcW w:w="1404" w:type="dxa"/>
            <w:vAlign w:val="center"/>
          </w:tcPr>
          <w:p>
            <w:pPr>
              <w:jc w:val="center"/>
            </w:pPr>
            <w:r>
              <w:rPr>
                <w:rFonts w:hint="eastAsia"/>
              </w:rPr>
              <w:t>二级吸收塔</w:t>
            </w:r>
          </w:p>
        </w:tc>
        <w:tc>
          <w:tcPr>
            <w:tcW w:w="1086" w:type="dxa"/>
            <w:vAlign w:val="center"/>
          </w:tcPr>
          <w:p>
            <w:pPr>
              <w:jc w:val="center"/>
            </w:pPr>
            <w:r>
              <w:rPr>
                <w:rFonts w:hint="eastAsia"/>
              </w:rPr>
              <w:t>PVC/FRP</w:t>
            </w:r>
          </w:p>
        </w:tc>
        <w:tc>
          <w:tcPr>
            <w:tcW w:w="1028" w:type="dxa"/>
            <w:vAlign w:val="center"/>
          </w:tcPr>
          <w:p>
            <w:pPr>
              <w:jc w:val="center"/>
            </w:pPr>
            <w:r>
              <w:rPr>
                <w:rFonts w:hint="eastAsia"/>
              </w:rPr>
              <w:t>1</w:t>
            </w:r>
          </w:p>
        </w:tc>
        <w:tc>
          <w:tcPr>
            <w:tcW w:w="1819" w:type="dxa"/>
            <w:vAlign w:val="center"/>
          </w:tcPr>
          <w:p>
            <w:pPr>
              <w:jc w:val="center"/>
            </w:pPr>
            <w:r>
              <w:rPr>
                <w:rFonts w:hint="eastAsia"/>
              </w:rPr>
              <w:t>DN1200</w:t>
            </w:r>
            <w:r>
              <w:rPr>
                <w:rFonts w:ascii="Arial" w:hAnsi="Arial" w:cs="Arial"/>
              </w:rPr>
              <w:t>×</w:t>
            </w:r>
            <w:r>
              <w:rPr>
                <w:rFonts w:hint="eastAsia"/>
              </w:rPr>
              <w:t>13000</w:t>
            </w:r>
          </w:p>
          <w:p>
            <w:pPr>
              <w:jc w:val="center"/>
            </w:pPr>
            <w:r>
              <w:rPr>
                <w:rFonts w:hint="eastAsia"/>
              </w:rPr>
              <w:t>(H)</w:t>
            </w:r>
          </w:p>
        </w:tc>
        <w:tc>
          <w:tcPr>
            <w:tcW w:w="1594" w:type="dxa"/>
            <w:vAlign w:val="center"/>
          </w:tcPr>
          <w:p>
            <w:pPr>
              <w:jc w:val="center"/>
            </w:pPr>
            <w:r>
              <w:rPr>
                <w:rFonts w:hint="eastAsia"/>
              </w:rPr>
              <w:t>80/140</w:t>
            </w:r>
          </w:p>
        </w:tc>
        <w:tc>
          <w:tcPr>
            <w:tcW w:w="1949" w:type="dxa"/>
            <w:vAlign w:val="center"/>
          </w:tcPr>
          <w:p>
            <w:pPr>
              <w:jc w:val="center"/>
            </w:pPr>
            <w:r>
              <w:rPr>
                <w:rFonts w:hint="eastAsia"/>
              </w:rPr>
              <w:t>-0.005</w:t>
            </w:r>
            <w:r>
              <w:rPr>
                <w:rFonts w:hint="eastAsia"/>
                <w:lang w:val="en-US" w:eastAsia="zh-CN"/>
              </w:rPr>
              <w:t>/</w:t>
            </w:r>
            <w:r>
              <w:rPr>
                <w:rFonts w:hint="eastAsia"/>
              </w:rPr>
              <w:t>常压</w:t>
            </w:r>
          </w:p>
        </w:tc>
        <w:tc>
          <w:tcPr>
            <w:tcW w:w="1524" w:type="dxa"/>
            <w:vAlign w:val="center"/>
          </w:tcPr>
          <w:p>
            <w:pPr>
              <w:jc w:val="center"/>
            </w:pPr>
            <w:r>
              <w:rPr>
                <w:rFonts w:hint="eastAsia"/>
              </w:rPr>
              <w:t>次氯酸钠溶液、20％液碱、氯气、氯化氢气体</w:t>
            </w:r>
          </w:p>
        </w:tc>
        <w:tc>
          <w:tcPr>
            <w:tcW w:w="944" w:type="dxa"/>
            <w:vAlign w:val="center"/>
          </w:tcPr>
          <w:p>
            <w:pPr>
              <w:jc w:val="center"/>
            </w:pPr>
            <w:r>
              <w:rPr>
                <w:rFonts w:hint="eastAsia"/>
              </w:rPr>
              <w:t>新购</w:t>
            </w:r>
          </w:p>
        </w:tc>
        <w:tc>
          <w:tcPr>
            <w:tcW w:w="1131" w:type="dxa"/>
            <w:vAlign w:val="center"/>
          </w:tcPr>
          <w:p>
            <w:pPr>
              <w:jc w:val="center"/>
            </w:pPr>
            <w:r>
              <w:rPr>
                <w:rFonts w:hint="eastAsia"/>
              </w:rPr>
              <w:t>1</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6" w:type="dxa"/>
            <w:gridSpan w:val="11"/>
            <w:vAlign w:val="center"/>
          </w:tcPr>
          <w:p>
            <w:pPr>
              <w:jc w:val="center"/>
            </w:pPr>
            <w:r>
              <w:rPr>
                <w:b/>
                <w:bCs/>
              </w:rPr>
              <w:t>四、管道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4" w:type="dxa"/>
            <w:vAlign w:val="center"/>
          </w:tcPr>
          <w:p>
            <w:pPr>
              <w:jc w:val="center"/>
            </w:pPr>
            <w:r>
              <w:rPr>
                <w:rFonts w:hint="eastAsia"/>
              </w:rPr>
              <w:t>88</w:t>
            </w:r>
          </w:p>
        </w:tc>
        <w:tc>
          <w:tcPr>
            <w:tcW w:w="1404" w:type="dxa"/>
            <w:vAlign w:val="center"/>
          </w:tcPr>
          <w:p>
            <w:pPr>
              <w:jc w:val="center"/>
            </w:pPr>
            <w:r>
              <w:rPr>
                <w:rFonts w:hint="eastAsia"/>
              </w:rPr>
              <w:t>氯气管道</w:t>
            </w:r>
          </w:p>
        </w:tc>
        <w:tc>
          <w:tcPr>
            <w:tcW w:w="1086" w:type="dxa"/>
            <w:vAlign w:val="center"/>
          </w:tcPr>
          <w:p>
            <w:pPr>
              <w:jc w:val="center"/>
            </w:pPr>
            <w:r>
              <w:rPr>
                <w:rFonts w:hint="eastAsia"/>
              </w:rPr>
              <w:t>Q345E</w:t>
            </w:r>
          </w:p>
        </w:tc>
        <w:tc>
          <w:tcPr>
            <w:tcW w:w="1028" w:type="dxa"/>
            <w:vAlign w:val="center"/>
          </w:tcPr>
          <w:p>
            <w:pPr>
              <w:jc w:val="center"/>
            </w:pPr>
            <w:r>
              <w:rPr>
                <w:rFonts w:hint="eastAsia"/>
              </w:rPr>
              <w:t>50m</w:t>
            </w:r>
          </w:p>
        </w:tc>
        <w:tc>
          <w:tcPr>
            <w:tcW w:w="1819" w:type="dxa"/>
            <w:vAlign w:val="center"/>
          </w:tcPr>
          <w:p>
            <w:pPr>
              <w:jc w:val="center"/>
            </w:pPr>
            <w:r>
              <w:rPr>
                <w:rFonts w:hint="eastAsia"/>
              </w:rPr>
              <w:t>DN200</w:t>
            </w:r>
          </w:p>
        </w:tc>
        <w:tc>
          <w:tcPr>
            <w:tcW w:w="1594" w:type="dxa"/>
            <w:vAlign w:val="center"/>
          </w:tcPr>
          <w:p>
            <w:pPr>
              <w:jc w:val="center"/>
            </w:pPr>
            <w:r>
              <w:rPr>
                <w:rFonts w:hint="eastAsia"/>
              </w:rPr>
              <w:t>25/80</w:t>
            </w:r>
          </w:p>
        </w:tc>
        <w:tc>
          <w:tcPr>
            <w:tcW w:w="1949" w:type="dxa"/>
            <w:vAlign w:val="center"/>
          </w:tcPr>
          <w:p>
            <w:pPr>
              <w:jc w:val="center"/>
            </w:pPr>
            <w:r>
              <w:rPr>
                <w:rFonts w:hint="eastAsia"/>
              </w:rPr>
              <w:t>0.3/0.5</w:t>
            </w:r>
          </w:p>
        </w:tc>
        <w:tc>
          <w:tcPr>
            <w:tcW w:w="1524" w:type="dxa"/>
            <w:vAlign w:val="center"/>
          </w:tcPr>
          <w:p>
            <w:pPr>
              <w:jc w:val="center"/>
            </w:pPr>
            <w:r>
              <w:rPr>
                <w:rFonts w:hint="eastAsia"/>
              </w:rPr>
              <w:t>氯气</w:t>
            </w:r>
          </w:p>
        </w:tc>
        <w:tc>
          <w:tcPr>
            <w:tcW w:w="944" w:type="dxa"/>
            <w:vAlign w:val="center"/>
          </w:tcPr>
          <w:p>
            <w:pPr>
              <w:jc w:val="center"/>
            </w:pPr>
            <w:r>
              <w:rPr>
                <w:rFonts w:hint="eastAsia"/>
              </w:rPr>
              <w:t>新购</w:t>
            </w:r>
          </w:p>
        </w:tc>
        <w:tc>
          <w:tcPr>
            <w:tcW w:w="1131" w:type="dxa"/>
            <w:vAlign w:val="center"/>
          </w:tcPr>
          <w:p>
            <w:pPr>
              <w:jc w:val="center"/>
            </w:pPr>
            <w:r>
              <w:rPr>
                <w:rFonts w:hint="eastAsia"/>
              </w:rPr>
              <w:t>50m</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4" w:type="dxa"/>
            <w:vAlign w:val="center"/>
          </w:tcPr>
          <w:p>
            <w:pPr>
              <w:jc w:val="center"/>
            </w:pPr>
            <w:r>
              <w:rPr>
                <w:rFonts w:hint="eastAsia"/>
              </w:rPr>
              <w:t>89</w:t>
            </w:r>
          </w:p>
        </w:tc>
        <w:tc>
          <w:tcPr>
            <w:tcW w:w="1404" w:type="dxa"/>
            <w:vAlign w:val="center"/>
          </w:tcPr>
          <w:p>
            <w:pPr>
              <w:jc w:val="center"/>
            </w:pPr>
            <w:r>
              <w:rPr>
                <w:rFonts w:hint="eastAsia"/>
              </w:rPr>
              <w:t>废氯管道</w:t>
            </w:r>
          </w:p>
        </w:tc>
        <w:tc>
          <w:tcPr>
            <w:tcW w:w="1086" w:type="dxa"/>
            <w:vAlign w:val="center"/>
          </w:tcPr>
          <w:p>
            <w:pPr>
              <w:jc w:val="center"/>
            </w:pPr>
            <w:r>
              <w:rPr>
                <w:rFonts w:hint="eastAsia"/>
              </w:rPr>
              <w:t>Q345E</w:t>
            </w:r>
          </w:p>
        </w:tc>
        <w:tc>
          <w:tcPr>
            <w:tcW w:w="1028" w:type="dxa"/>
            <w:vAlign w:val="center"/>
          </w:tcPr>
          <w:p>
            <w:pPr>
              <w:jc w:val="center"/>
            </w:pPr>
            <w:r>
              <w:rPr>
                <w:rFonts w:hint="eastAsia"/>
              </w:rPr>
              <w:t>10m</w:t>
            </w:r>
          </w:p>
        </w:tc>
        <w:tc>
          <w:tcPr>
            <w:tcW w:w="1819" w:type="dxa"/>
            <w:vAlign w:val="center"/>
          </w:tcPr>
          <w:p>
            <w:pPr>
              <w:jc w:val="center"/>
            </w:pPr>
            <w:r>
              <w:rPr>
                <w:rFonts w:hint="eastAsia"/>
              </w:rPr>
              <w:t>DN100</w:t>
            </w:r>
          </w:p>
        </w:tc>
        <w:tc>
          <w:tcPr>
            <w:tcW w:w="1594" w:type="dxa"/>
            <w:vAlign w:val="center"/>
          </w:tcPr>
          <w:p>
            <w:pPr>
              <w:jc w:val="center"/>
            </w:pPr>
            <w:r>
              <w:rPr>
                <w:rFonts w:hint="eastAsia"/>
              </w:rPr>
              <w:t>25/80</w:t>
            </w:r>
          </w:p>
        </w:tc>
        <w:tc>
          <w:tcPr>
            <w:tcW w:w="1949" w:type="dxa"/>
            <w:vAlign w:val="center"/>
          </w:tcPr>
          <w:p>
            <w:pPr>
              <w:jc w:val="center"/>
            </w:pPr>
            <w:r>
              <w:rPr>
                <w:rFonts w:hint="eastAsia"/>
              </w:rPr>
              <w:t>0.3/0.5</w:t>
            </w:r>
          </w:p>
        </w:tc>
        <w:tc>
          <w:tcPr>
            <w:tcW w:w="1524" w:type="dxa"/>
            <w:vAlign w:val="center"/>
          </w:tcPr>
          <w:p>
            <w:pPr>
              <w:jc w:val="center"/>
            </w:pPr>
            <w:r>
              <w:rPr>
                <w:rFonts w:hint="eastAsia"/>
              </w:rPr>
              <w:t>氯气</w:t>
            </w:r>
          </w:p>
        </w:tc>
        <w:tc>
          <w:tcPr>
            <w:tcW w:w="944" w:type="dxa"/>
            <w:vAlign w:val="center"/>
          </w:tcPr>
          <w:p>
            <w:pPr>
              <w:jc w:val="center"/>
            </w:pPr>
            <w:r>
              <w:rPr>
                <w:rFonts w:hint="eastAsia"/>
              </w:rPr>
              <w:t>新购</w:t>
            </w:r>
          </w:p>
        </w:tc>
        <w:tc>
          <w:tcPr>
            <w:tcW w:w="1131" w:type="dxa"/>
            <w:vAlign w:val="center"/>
          </w:tcPr>
          <w:p>
            <w:pPr>
              <w:jc w:val="center"/>
            </w:pPr>
            <w:r>
              <w:rPr>
                <w:rFonts w:hint="eastAsia"/>
              </w:rPr>
              <w:t>10m</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4" w:type="dxa"/>
            <w:vAlign w:val="center"/>
          </w:tcPr>
          <w:p>
            <w:pPr>
              <w:jc w:val="center"/>
            </w:pPr>
            <w:r>
              <w:rPr>
                <w:rFonts w:hint="eastAsia"/>
              </w:rPr>
              <w:t>90</w:t>
            </w:r>
          </w:p>
        </w:tc>
        <w:tc>
          <w:tcPr>
            <w:tcW w:w="1404" w:type="dxa"/>
            <w:vAlign w:val="center"/>
          </w:tcPr>
          <w:p>
            <w:pPr>
              <w:jc w:val="center"/>
            </w:pPr>
            <w:r>
              <w:rPr>
                <w:rFonts w:hint="eastAsia"/>
              </w:rPr>
              <w:t>低压蒸汽管道</w:t>
            </w:r>
          </w:p>
        </w:tc>
        <w:tc>
          <w:tcPr>
            <w:tcW w:w="1086" w:type="dxa"/>
            <w:vAlign w:val="center"/>
          </w:tcPr>
          <w:p>
            <w:pPr>
              <w:jc w:val="center"/>
            </w:pPr>
            <w:r>
              <w:rPr>
                <w:rFonts w:hint="eastAsia"/>
              </w:rPr>
              <w:t>20#</w:t>
            </w:r>
          </w:p>
        </w:tc>
        <w:tc>
          <w:tcPr>
            <w:tcW w:w="1028" w:type="dxa"/>
            <w:vAlign w:val="center"/>
          </w:tcPr>
          <w:p>
            <w:pPr>
              <w:jc w:val="center"/>
            </w:pPr>
            <w:r>
              <w:rPr>
                <w:rFonts w:hint="eastAsia"/>
              </w:rPr>
              <w:t>25m</w:t>
            </w:r>
          </w:p>
        </w:tc>
        <w:tc>
          <w:tcPr>
            <w:tcW w:w="1819" w:type="dxa"/>
            <w:vAlign w:val="center"/>
          </w:tcPr>
          <w:p>
            <w:pPr>
              <w:jc w:val="center"/>
            </w:pPr>
            <w:r>
              <w:rPr>
                <w:rFonts w:hint="eastAsia"/>
              </w:rPr>
              <w:t>DN150</w:t>
            </w:r>
          </w:p>
        </w:tc>
        <w:tc>
          <w:tcPr>
            <w:tcW w:w="1594" w:type="dxa"/>
            <w:vAlign w:val="center"/>
          </w:tcPr>
          <w:p>
            <w:pPr>
              <w:jc w:val="center"/>
            </w:pPr>
            <w:r>
              <w:rPr>
                <w:rFonts w:hint="eastAsia"/>
              </w:rPr>
              <w:t>160/185</w:t>
            </w:r>
          </w:p>
        </w:tc>
        <w:tc>
          <w:tcPr>
            <w:tcW w:w="1949" w:type="dxa"/>
            <w:vAlign w:val="center"/>
          </w:tcPr>
          <w:p>
            <w:pPr>
              <w:jc w:val="center"/>
            </w:pPr>
            <w:r>
              <w:rPr>
                <w:rFonts w:hint="eastAsia"/>
              </w:rPr>
              <w:t>0.6/0.8</w:t>
            </w:r>
          </w:p>
        </w:tc>
        <w:tc>
          <w:tcPr>
            <w:tcW w:w="1524" w:type="dxa"/>
            <w:vAlign w:val="center"/>
          </w:tcPr>
          <w:p>
            <w:pPr>
              <w:jc w:val="center"/>
            </w:pPr>
            <w:r>
              <w:rPr>
                <w:rFonts w:hint="eastAsia"/>
              </w:rPr>
              <w:t>蒸汽</w:t>
            </w:r>
          </w:p>
        </w:tc>
        <w:tc>
          <w:tcPr>
            <w:tcW w:w="944" w:type="dxa"/>
            <w:vAlign w:val="center"/>
          </w:tcPr>
          <w:p>
            <w:pPr>
              <w:jc w:val="center"/>
            </w:pPr>
            <w:r>
              <w:rPr>
                <w:rFonts w:hint="eastAsia"/>
              </w:rPr>
              <w:t>新购</w:t>
            </w:r>
          </w:p>
        </w:tc>
        <w:tc>
          <w:tcPr>
            <w:tcW w:w="1131" w:type="dxa"/>
            <w:vAlign w:val="center"/>
          </w:tcPr>
          <w:p>
            <w:pPr>
              <w:jc w:val="center"/>
            </w:pPr>
            <w:r>
              <w:rPr>
                <w:rFonts w:hint="eastAsia"/>
              </w:rPr>
              <w:t>25m</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4" w:type="dxa"/>
            <w:vAlign w:val="center"/>
          </w:tcPr>
          <w:p>
            <w:pPr>
              <w:jc w:val="center"/>
            </w:pPr>
            <w:r>
              <w:rPr>
                <w:rFonts w:hint="eastAsia"/>
              </w:rPr>
              <w:t>91</w:t>
            </w:r>
          </w:p>
        </w:tc>
        <w:tc>
          <w:tcPr>
            <w:tcW w:w="1404" w:type="dxa"/>
            <w:vAlign w:val="center"/>
          </w:tcPr>
          <w:p>
            <w:pPr>
              <w:jc w:val="center"/>
            </w:pPr>
            <w:r>
              <w:rPr>
                <w:rFonts w:hint="eastAsia"/>
              </w:rPr>
              <w:t>低压蒸汽管道</w:t>
            </w:r>
          </w:p>
        </w:tc>
        <w:tc>
          <w:tcPr>
            <w:tcW w:w="1086" w:type="dxa"/>
            <w:vAlign w:val="center"/>
          </w:tcPr>
          <w:p>
            <w:pPr>
              <w:jc w:val="center"/>
            </w:pPr>
            <w:r>
              <w:rPr>
                <w:rFonts w:hint="eastAsia"/>
              </w:rPr>
              <w:t>20#</w:t>
            </w:r>
          </w:p>
        </w:tc>
        <w:tc>
          <w:tcPr>
            <w:tcW w:w="1028" w:type="dxa"/>
            <w:vAlign w:val="center"/>
          </w:tcPr>
          <w:p>
            <w:pPr>
              <w:jc w:val="center"/>
            </w:pPr>
            <w:r>
              <w:rPr>
                <w:rFonts w:hint="eastAsia"/>
              </w:rPr>
              <w:t>30m</w:t>
            </w:r>
          </w:p>
        </w:tc>
        <w:tc>
          <w:tcPr>
            <w:tcW w:w="1819" w:type="dxa"/>
            <w:vAlign w:val="center"/>
          </w:tcPr>
          <w:p>
            <w:pPr>
              <w:jc w:val="center"/>
            </w:pPr>
            <w:r>
              <w:rPr>
                <w:rFonts w:hint="eastAsia"/>
              </w:rPr>
              <w:t>DN50</w:t>
            </w:r>
          </w:p>
        </w:tc>
        <w:tc>
          <w:tcPr>
            <w:tcW w:w="1594" w:type="dxa"/>
            <w:vAlign w:val="center"/>
          </w:tcPr>
          <w:p>
            <w:pPr>
              <w:jc w:val="center"/>
            </w:pPr>
            <w:r>
              <w:rPr>
                <w:rFonts w:hint="eastAsia"/>
              </w:rPr>
              <w:t>160/185</w:t>
            </w:r>
          </w:p>
        </w:tc>
        <w:tc>
          <w:tcPr>
            <w:tcW w:w="1949" w:type="dxa"/>
            <w:vAlign w:val="center"/>
          </w:tcPr>
          <w:p>
            <w:pPr>
              <w:jc w:val="center"/>
            </w:pPr>
            <w:r>
              <w:rPr>
                <w:rFonts w:hint="eastAsia"/>
              </w:rPr>
              <w:t>0.6/0.8</w:t>
            </w:r>
          </w:p>
        </w:tc>
        <w:tc>
          <w:tcPr>
            <w:tcW w:w="1524" w:type="dxa"/>
            <w:vAlign w:val="center"/>
          </w:tcPr>
          <w:p>
            <w:pPr>
              <w:jc w:val="center"/>
            </w:pPr>
            <w:r>
              <w:rPr>
                <w:rFonts w:hint="eastAsia"/>
              </w:rPr>
              <w:t>蒸汽</w:t>
            </w:r>
          </w:p>
        </w:tc>
        <w:tc>
          <w:tcPr>
            <w:tcW w:w="944" w:type="dxa"/>
            <w:vAlign w:val="center"/>
          </w:tcPr>
          <w:p>
            <w:pPr>
              <w:jc w:val="center"/>
            </w:pPr>
            <w:r>
              <w:rPr>
                <w:rFonts w:hint="eastAsia"/>
              </w:rPr>
              <w:t>新购</w:t>
            </w:r>
          </w:p>
        </w:tc>
        <w:tc>
          <w:tcPr>
            <w:tcW w:w="1131" w:type="dxa"/>
            <w:vAlign w:val="center"/>
          </w:tcPr>
          <w:p>
            <w:pPr>
              <w:jc w:val="center"/>
            </w:pPr>
            <w:r>
              <w:rPr>
                <w:rFonts w:hint="eastAsia"/>
              </w:rPr>
              <w:t>30m</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4" w:type="dxa"/>
            <w:vAlign w:val="center"/>
          </w:tcPr>
          <w:p>
            <w:pPr>
              <w:jc w:val="center"/>
            </w:pPr>
            <w:r>
              <w:rPr>
                <w:rFonts w:hint="eastAsia"/>
              </w:rPr>
              <w:t>92</w:t>
            </w:r>
          </w:p>
        </w:tc>
        <w:tc>
          <w:tcPr>
            <w:tcW w:w="1404" w:type="dxa"/>
            <w:vAlign w:val="center"/>
          </w:tcPr>
          <w:p>
            <w:pPr>
              <w:jc w:val="center"/>
            </w:pPr>
            <w:r>
              <w:rPr>
                <w:rFonts w:hint="eastAsia"/>
              </w:rPr>
              <w:t>液蜡管道</w:t>
            </w:r>
          </w:p>
        </w:tc>
        <w:tc>
          <w:tcPr>
            <w:tcW w:w="1086" w:type="dxa"/>
            <w:vAlign w:val="center"/>
          </w:tcPr>
          <w:p>
            <w:pPr>
              <w:jc w:val="center"/>
            </w:pPr>
            <w:r>
              <w:rPr>
                <w:rFonts w:hint="eastAsia"/>
              </w:rPr>
              <w:t>S30408</w:t>
            </w:r>
          </w:p>
        </w:tc>
        <w:tc>
          <w:tcPr>
            <w:tcW w:w="1028" w:type="dxa"/>
            <w:vAlign w:val="center"/>
          </w:tcPr>
          <w:p>
            <w:pPr>
              <w:jc w:val="center"/>
            </w:pPr>
            <w:r>
              <w:rPr>
                <w:rFonts w:hint="eastAsia"/>
              </w:rPr>
              <w:t>30m</w:t>
            </w:r>
          </w:p>
        </w:tc>
        <w:tc>
          <w:tcPr>
            <w:tcW w:w="1819" w:type="dxa"/>
            <w:vAlign w:val="center"/>
          </w:tcPr>
          <w:p>
            <w:pPr>
              <w:jc w:val="center"/>
            </w:pPr>
            <w:r>
              <w:rPr>
                <w:rFonts w:hint="eastAsia"/>
              </w:rPr>
              <w:t>DN80</w:t>
            </w:r>
          </w:p>
        </w:tc>
        <w:tc>
          <w:tcPr>
            <w:tcW w:w="1594" w:type="dxa"/>
            <w:vAlign w:val="center"/>
          </w:tcPr>
          <w:p>
            <w:pPr>
              <w:jc w:val="center"/>
            </w:pPr>
            <w:r>
              <w:rPr>
                <w:rFonts w:hint="eastAsia"/>
              </w:rPr>
              <w:t>50/70</w:t>
            </w:r>
          </w:p>
        </w:tc>
        <w:tc>
          <w:tcPr>
            <w:tcW w:w="1949" w:type="dxa"/>
            <w:vAlign w:val="center"/>
          </w:tcPr>
          <w:p>
            <w:pPr>
              <w:jc w:val="center"/>
            </w:pPr>
            <w:r>
              <w:rPr>
                <w:rFonts w:hint="eastAsia"/>
              </w:rPr>
              <w:t>0.3/0.5</w:t>
            </w:r>
          </w:p>
        </w:tc>
        <w:tc>
          <w:tcPr>
            <w:tcW w:w="1524" w:type="dxa"/>
            <w:vAlign w:val="center"/>
          </w:tcPr>
          <w:p>
            <w:pPr>
              <w:jc w:val="center"/>
            </w:pPr>
            <w:r>
              <w:rPr>
                <w:rFonts w:hint="eastAsia"/>
              </w:rPr>
              <w:t>液蜡</w:t>
            </w:r>
          </w:p>
        </w:tc>
        <w:tc>
          <w:tcPr>
            <w:tcW w:w="944" w:type="dxa"/>
            <w:vAlign w:val="center"/>
          </w:tcPr>
          <w:p>
            <w:pPr>
              <w:jc w:val="center"/>
            </w:pPr>
            <w:r>
              <w:rPr>
                <w:rFonts w:hint="eastAsia"/>
              </w:rPr>
              <w:t>新购</w:t>
            </w:r>
          </w:p>
        </w:tc>
        <w:tc>
          <w:tcPr>
            <w:tcW w:w="1131" w:type="dxa"/>
            <w:vAlign w:val="center"/>
          </w:tcPr>
          <w:p>
            <w:pPr>
              <w:jc w:val="center"/>
            </w:pPr>
            <w:r>
              <w:rPr>
                <w:rFonts w:hint="eastAsia"/>
              </w:rPr>
              <w:t>30m</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4" w:type="dxa"/>
            <w:vAlign w:val="center"/>
          </w:tcPr>
          <w:p>
            <w:pPr>
              <w:jc w:val="center"/>
            </w:pPr>
            <w:r>
              <w:rPr>
                <w:rFonts w:hint="eastAsia"/>
              </w:rPr>
              <w:t>93</w:t>
            </w:r>
          </w:p>
        </w:tc>
        <w:tc>
          <w:tcPr>
            <w:tcW w:w="1404" w:type="dxa"/>
            <w:vAlign w:val="center"/>
          </w:tcPr>
          <w:p>
            <w:pPr>
              <w:jc w:val="center"/>
            </w:pPr>
            <w:r>
              <w:rPr>
                <w:rFonts w:hint="eastAsia"/>
              </w:rPr>
              <w:t>液蜡管道</w:t>
            </w:r>
          </w:p>
        </w:tc>
        <w:tc>
          <w:tcPr>
            <w:tcW w:w="1086" w:type="dxa"/>
            <w:vAlign w:val="center"/>
          </w:tcPr>
          <w:p>
            <w:pPr>
              <w:jc w:val="center"/>
            </w:pPr>
            <w:r>
              <w:rPr>
                <w:rFonts w:hint="eastAsia"/>
              </w:rPr>
              <w:t>S30408</w:t>
            </w:r>
          </w:p>
        </w:tc>
        <w:tc>
          <w:tcPr>
            <w:tcW w:w="1028" w:type="dxa"/>
            <w:vAlign w:val="center"/>
          </w:tcPr>
          <w:p>
            <w:pPr>
              <w:jc w:val="center"/>
            </w:pPr>
            <w:r>
              <w:rPr>
                <w:rFonts w:hint="eastAsia"/>
              </w:rPr>
              <w:t>120m</w:t>
            </w:r>
          </w:p>
        </w:tc>
        <w:tc>
          <w:tcPr>
            <w:tcW w:w="1819" w:type="dxa"/>
            <w:vAlign w:val="center"/>
          </w:tcPr>
          <w:p>
            <w:pPr>
              <w:jc w:val="center"/>
            </w:pPr>
            <w:r>
              <w:rPr>
                <w:rFonts w:hint="eastAsia"/>
              </w:rPr>
              <w:t>DN65</w:t>
            </w:r>
          </w:p>
        </w:tc>
        <w:tc>
          <w:tcPr>
            <w:tcW w:w="1594" w:type="dxa"/>
            <w:vAlign w:val="center"/>
          </w:tcPr>
          <w:p>
            <w:pPr>
              <w:jc w:val="center"/>
            </w:pPr>
            <w:r>
              <w:rPr>
                <w:rFonts w:hint="eastAsia"/>
              </w:rPr>
              <w:t>50/70</w:t>
            </w:r>
          </w:p>
        </w:tc>
        <w:tc>
          <w:tcPr>
            <w:tcW w:w="1949" w:type="dxa"/>
            <w:vAlign w:val="center"/>
          </w:tcPr>
          <w:p>
            <w:pPr>
              <w:jc w:val="center"/>
            </w:pPr>
            <w:r>
              <w:rPr>
                <w:rFonts w:hint="eastAsia"/>
              </w:rPr>
              <w:t>0.3/0.5</w:t>
            </w:r>
          </w:p>
        </w:tc>
        <w:tc>
          <w:tcPr>
            <w:tcW w:w="1524" w:type="dxa"/>
            <w:vAlign w:val="center"/>
          </w:tcPr>
          <w:p>
            <w:pPr>
              <w:jc w:val="center"/>
            </w:pPr>
            <w:r>
              <w:rPr>
                <w:rFonts w:hint="eastAsia"/>
              </w:rPr>
              <w:t>液蜡</w:t>
            </w:r>
          </w:p>
        </w:tc>
        <w:tc>
          <w:tcPr>
            <w:tcW w:w="944" w:type="dxa"/>
            <w:vAlign w:val="center"/>
          </w:tcPr>
          <w:p>
            <w:pPr>
              <w:jc w:val="center"/>
            </w:pPr>
            <w:r>
              <w:rPr>
                <w:rFonts w:hint="eastAsia"/>
              </w:rPr>
              <w:t>新购</w:t>
            </w:r>
          </w:p>
        </w:tc>
        <w:tc>
          <w:tcPr>
            <w:tcW w:w="1131" w:type="dxa"/>
            <w:vAlign w:val="center"/>
          </w:tcPr>
          <w:p>
            <w:pPr>
              <w:jc w:val="center"/>
            </w:pPr>
            <w:r>
              <w:rPr>
                <w:rFonts w:hint="eastAsia"/>
              </w:rPr>
              <w:t>120m</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4" w:type="dxa"/>
            <w:vAlign w:val="center"/>
          </w:tcPr>
          <w:p>
            <w:pPr>
              <w:jc w:val="center"/>
            </w:pPr>
            <w:r>
              <w:rPr>
                <w:rFonts w:hint="eastAsia"/>
              </w:rPr>
              <w:t>94</w:t>
            </w:r>
          </w:p>
        </w:tc>
        <w:tc>
          <w:tcPr>
            <w:tcW w:w="1404" w:type="dxa"/>
            <w:vAlign w:val="center"/>
          </w:tcPr>
          <w:p>
            <w:pPr>
              <w:jc w:val="center"/>
            </w:pPr>
            <w:r>
              <w:rPr>
                <w:rFonts w:hint="eastAsia"/>
              </w:rPr>
              <w:t>液蜡管道</w:t>
            </w:r>
          </w:p>
        </w:tc>
        <w:tc>
          <w:tcPr>
            <w:tcW w:w="1086" w:type="dxa"/>
            <w:vAlign w:val="center"/>
          </w:tcPr>
          <w:p>
            <w:pPr>
              <w:jc w:val="center"/>
            </w:pPr>
            <w:r>
              <w:rPr>
                <w:rFonts w:hint="eastAsia"/>
              </w:rPr>
              <w:t>S30408</w:t>
            </w:r>
          </w:p>
        </w:tc>
        <w:tc>
          <w:tcPr>
            <w:tcW w:w="1028" w:type="dxa"/>
            <w:vAlign w:val="center"/>
          </w:tcPr>
          <w:p>
            <w:pPr>
              <w:jc w:val="center"/>
            </w:pPr>
            <w:r>
              <w:rPr>
                <w:rFonts w:hint="eastAsia"/>
              </w:rPr>
              <w:t>50m</w:t>
            </w:r>
          </w:p>
        </w:tc>
        <w:tc>
          <w:tcPr>
            <w:tcW w:w="1819" w:type="dxa"/>
            <w:vAlign w:val="center"/>
          </w:tcPr>
          <w:p>
            <w:pPr>
              <w:jc w:val="center"/>
            </w:pPr>
            <w:r>
              <w:rPr>
                <w:rFonts w:hint="eastAsia"/>
              </w:rPr>
              <w:t>DN50</w:t>
            </w:r>
          </w:p>
        </w:tc>
        <w:tc>
          <w:tcPr>
            <w:tcW w:w="1594" w:type="dxa"/>
            <w:vAlign w:val="center"/>
          </w:tcPr>
          <w:p>
            <w:pPr>
              <w:jc w:val="center"/>
            </w:pPr>
            <w:r>
              <w:rPr>
                <w:rFonts w:hint="eastAsia"/>
              </w:rPr>
              <w:t>50/70</w:t>
            </w:r>
          </w:p>
        </w:tc>
        <w:tc>
          <w:tcPr>
            <w:tcW w:w="1949" w:type="dxa"/>
            <w:vAlign w:val="center"/>
          </w:tcPr>
          <w:p>
            <w:pPr>
              <w:jc w:val="center"/>
            </w:pPr>
            <w:r>
              <w:rPr>
                <w:rFonts w:hint="eastAsia"/>
              </w:rPr>
              <w:t>0.3/0.5</w:t>
            </w:r>
          </w:p>
        </w:tc>
        <w:tc>
          <w:tcPr>
            <w:tcW w:w="1524" w:type="dxa"/>
            <w:vAlign w:val="center"/>
          </w:tcPr>
          <w:p>
            <w:pPr>
              <w:jc w:val="center"/>
            </w:pPr>
            <w:r>
              <w:rPr>
                <w:rFonts w:hint="eastAsia"/>
              </w:rPr>
              <w:t>液蜡</w:t>
            </w:r>
          </w:p>
        </w:tc>
        <w:tc>
          <w:tcPr>
            <w:tcW w:w="944" w:type="dxa"/>
            <w:vAlign w:val="center"/>
          </w:tcPr>
          <w:p>
            <w:pPr>
              <w:jc w:val="center"/>
            </w:pPr>
            <w:r>
              <w:rPr>
                <w:rFonts w:hint="eastAsia"/>
              </w:rPr>
              <w:t>新购</w:t>
            </w:r>
          </w:p>
        </w:tc>
        <w:tc>
          <w:tcPr>
            <w:tcW w:w="1131" w:type="dxa"/>
            <w:vAlign w:val="center"/>
          </w:tcPr>
          <w:p>
            <w:pPr>
              <w:jc w:val="center"/>
            </w:pPr>
            <w:r>
              <w:rPr>
                <w:rFonts w:hint="eastAsia"/>
              </w:rPr>
              <w:t>50m</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4" w:type="dxa"/>
            <w:vAlign w:val="center"/>
          </w:tcPr>
          <w:p>
            <w:pPr>
              <w:jc w:val="center"/>
            </w:pPr>
            <w:r>
              <w:rPr>
                <w:rFonts w:hint="eastAsia"/>
              </w:rPr>
              <w:t>95</w:t>
            </w:r>
          </w:p>
        </w:tc>
        <w:tc>
          <w:tcPr>
            <w:tcW w:w="1404" w:type="dxa"/>
            <w:vAlign w:val="center"/>
          </w:tcPr>
          <w:p>
            <w:pPr>
              <w:jc w:val="center"/>
            </w:pPr>
            <w:r>
              <w:rPr>
                <w:rFonts w:hint="eastAsia"/>
              </w:rPr>
              <w:t>碱液管道</w:t>
            </w:r>
          </w:p>
        </w:tc>
        <w:tc>
          <w:tcPr>
            <w:tcW w:w="1086" w:type="dxa"/>
            <w:vAlign w:val="center"/>
          </w:tcPr>
          <w:p>
            <w:pPr>
              <w:jc w:val="center"/>
            </w:pPr>
            <w:r>
              <w:rPr>
                <w:rFonts w:hint="eastAsia"/>
              </w:rPr>
              <w:t>S30408</w:t>
            </w:r>
          </w:p>
        </w:tc>
        <w:tc>
          <w:tcPr>
            <w:tcW w:w="1028" w:type="dxa"/>
            <w:vAlign w:val="center"/>
          </w:tcPr>
          <w:p>
            <w:pPr>
              <w:jc w:val="center"/>
            </w:pPr>
            <w:r>
              <w:rPr>
                <w:rFonts w:hint="eastAsia"/>
              </w:rPr>
              <w:t>10m</w:t>
            </w:r>
          </w:p>
        </w:tc>
        <w:tc>
          <w:tcPr>
            <w:tcW w:w="1819" w:type="dxa"/>
            <w:vAlign w:val="center"/>
          </w:tcPr>
          <w:p>
            <w:pPr>
              <w:jc w:val="center"/>
            </w:pPr>
            <w:r>
              <w:rPr>
                <w:rFonts w:hint="eastAsia"/>
              </w:rPr>
              <w:t>DN100</w:t>
            </w:r>
          </w:p>
        </w:tc>
        <w:tc>
          <w:tcPr>
            <w:tcW w:w="1594" w:type="dxa"/>
            <w:vAlign w:val="center"/>
          </w:tcPr>
          <w:p>
            <w:pPr>
              <w:jc w:val="center"/>
            </w:pPr>
            <w:r>
              <w:rPr>
                <w:rFonts w:hint="eastAsia"/>
              </w:rPr>
              <w:t>25/50</w:t>
            </w:r>
          </w:p>
        </w:tc>
        <w:tc>
          <w:tcPr>
            <w:tcW w:w="1949" w:type="dxa"/>
            <w:vAlign w:val="center"/>
          </w:tcPr>
          <w:p>
            <w:pPr>
              <w:jc w:val="center"/>
            </w:pPr>
            <w:r>
              <w:rPr>
                <w:rFonts w:hint="eastAsia"/>
              </w:rPr>
              <w:t>0.3/0.5</w:t>
            </w:r>
          </w:p>
        </w:tc>
        <w:tc>
          <w:tcPr>
            <w:tcW w:w="1524" w:type="dxa"/>
            <w:vAlign w:val="center"/>
          </w:tcPr>
          <w:p>
            <w:pPr>
              <w:jc w:val="center"/>
            </w:pPr>
            <w:r>
              <w:rPr>
                <w:rFonts w:hint="eastAsia"/>
              </w:rPr>
              <w:t>液碱</w:t>
            </w:r>
          </w:p>
        </w:tc>
        <w:tc>
          <w:tcPr>
            <w:tcW w:w="944" w:type="dxa"/>
            <w:vAlign w:val="center"/>
          </w:tcPr>
          <w:p>
            <w:pPr>
              <w:jc w:val="center"/>
            </w:pPr>
            <w:r>
              <w:rPr>
                <w:rFonts w:hint="eastAsia"/>
              </w:rPr>
              <w:t>新购</w:t>
            </w:r>
          </w:p>
        </w:tc>
        <w:tc>
          <w:tcPr>
            <w:tcW w:w="1131" w:type="dxa"/>
            <w:vAlign w:val="center"/>
          </w:tcPr>
          <w:p>
            <w:pPr>
              <w:jc w:val="center"/>
            </w:pPr>
            <w:r>
              <w:rPr>
                <w:rFonts w:hint="eastAsia"/>
              </w:rPr>
              <w:t>10m</w:t>
            </w:r>
          </w:p>
        </w:tc>
        <w:tc>
          <w:tcPr>
            <w:tcW w:w="933" w:type="dxa"/>
            <w:vAlign w:val="center"/>
          </w:tcPr>
          <w:p>
            <w:pPr>
              <w:jc w:val="center"/>
            </w:pPr>
            <w:r>
              <w:rPr>
                <w:rFonts w:hint="eastAsia"/>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4" w:type="dxa"/>
            <w:vAlign w:val="center"/>
          </w:tcPr>
          <w:p>
            <w:pPr>
              <w:jc w:val="center"/>
            </w:pPr>
            <w:r>
              <w:rPr>
                <w:rFonts w:hint="eastAsia"/>
              </w:rPr>
              <w:t>96</w:t>
            </w:r>
          </w:p>
        </w:tc>
        <w:tc>
          <w:tcPr>
            <w:tcW w:w="1404" w:type="dxa"/>
            <w:vAlign w:val="center"/>
          </w:tcPr>
          <w:p>
            <w:pPr>
              <w:jc w:val="center"/>
            </w:pPr>
            <w:r>
              <w:rPr>
                <w:rFonts w:hint="eastAsia"/>
              </w:rPr>
              <w:t>碱液管道</w:t>
            </w:r>
          </w:p>
        </w:tc>
        <w:tc>
          <w:tcPr>
            <w:tcW w:w="1086" w:type="dxa"/>
            <w:vAlign w:val="center"/>
          </w:tcPr>
          <w:p>
            <w:pPr>
              <w:jc w:val="center"/>
            </w:pPr>
            <w:r>
              <w:rPr>
                <w:rFonts w:hint="eastAsia"/>
              </w:rPr>
              <w:t>S30408</w:t>
            </w:r>
          </w:p>
        </w:tc>
        <w:tc>
          <w:tcPr>
            <w:tcW w:w="1028" w:type="dxa"/>
            <w:vAlign w:val="center"/>
          </w:tcPr>
          <w:p>
            <w:pPr>
              <w:jc w:val="center"/>
            </w:pPr>
            <w:r>
              <w:rPr>
                <w:rFonts w:hint="eastAsia"/>
              </w:rPr>
              <w:t>10m</w:t>
            </w:r>
          </w:p>
        </w:tc>
        <w:tc>
          <w:tcPr>
            <w:tcW w:w="1819" w:type="dxa"/>
            <w:vAlign w:val="center"/>
          </w:tcPr>
          <w:p>
            <w:pPr>
              <w:jc w:val="center"/>
            </w:pPr>
            <w:r>
              <w:rPr>
                <w:rFonts w:hint="eastAsia"/>
              </w:rPr>
              <w:t>DN50</w:t>
            </w:r>
          </w:p>
        </w:tc>
        <w:tc>
          <w:tcPr>
            <w:tcW w:w="1594" w:type="dxa"/>
            <w:vAlign w:val="center"/>
          </w:tcPr>
          <w:p>
            <w:pPr>
              <w:jc w:val="center"/>
            </w:pPr>
            <w:r>
              <w:rPr>
                <w:rFonts w:hint="eastAsia"/>
              </w:rPr>
              <w:t>40/60</w:t>
            </w:r>
          </w:p>
        </w:tc>
        <w:tc>
          <w:tcPr>
            <w:tcW w:w="1949" w:type="dxa"/>
            <w:vAlign w:val="center"/>
          </w:tcPr>
          <w:p>
            <w:pPr>
              <w:jc w:val="center"/>
            </w:pPr>
            <w:r>
              <w:rPr>
                <w:rFonts w:hint="eastAsia"/>
              </w:rPr>
              <w:t>0.4/0.6</w:t>
            </w:r>
          </w:p>
        </w:tc>
        <w:tc>
          <w:tcPr>
            <w:tcW w:w="1524" w:type="dxa"/>
            <w:vAlign w:val="center"/>
          </w:tcPr>
          <w:p>
            <w:pPr>
              <w:jc w:val="center"/>
            </w:pPr>
            <w:r>
              <w:rPr>
                <w:rFonts w:hint="eastAsia"/>
              </w:rPr>
              <w:t>液碱</w:t>
            </w:r>
          </w:p>
        </w:tc>
        <w:tc>
          <w:tcPr>
            <w:tcW w:w="944" w:type="dxa"/>
            <w:vAlign w:val="center"/>
          </w:tcPr>
          <w:p>
            <w:pPr>
              <w:jc w:val="center"/>
            </w:pPr>
            <w:r>
              <w:rPr>
                <w:rFonts w:hint="eastAsia"/>
              </w:rPr>
              <w:t>新购</w:t>
            </w:r>
          </w:p>
        </w:tc>
        <w:tc>
          <w:tcPr>
            <w:tcW w:w="1131" w:type="dxa"/>
            <w:vAlign w:val="center"/>
          </w:tcPr>
          <w:p>
            <w:pPr>
              <w:jc w:val="center"/>
            </w:pPr>
            <w:r>
              <w:rPr>
                <w:rFonts w:hint="eastAsia"/>
              </w:rPr>
              <w:t>10m</w:t>
            </w:r>
          </w:p>
        </w:tc>
        <w:tc>
          <w:tcPr>
            <w:tcW w:w="933" w:type="dxa"/>
            <w:vAlign w:val="center"/>
          </w:tcPr>
          <w:p>
            <w:pPr>
              <w:jc w:val="center"/>
            </w:pPr>
            <w:r>
              <w:rPr>
                <w:rFonts w:hint="eastAsia"/>
              </w:rPr>
              <w:t>无变化</w:t>
            </w:r>
          </w:p>
        </w:tc>
      </w:tr>
    </w:tbl>
    <w:p>
      <w:pPr>
        <w:sectPr>
          <w:footerReference r:id="rId11" w:type="default"/>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11"/>
        <w:contextualSpacing/>
      </w:pPr>
      <w:bookmarkStart w:id="27" w:name="_Toc19972"/>
      <w:r>
        <w:t>3.3.2主要原辅材料</w:t>
      </w:r>
      <w:bookmarkEnd w:id="27"/>
    </w:p>
    <w:p>
      <w:pPr>
        <w:pStyle w:val="84"/>
        <w:spacing w:line="360" w:lineRule="auto"/>
        <w:ind w:firstLine="422"/>
        <w:contextualSpacing/>
        <w:jc w:val="center"/>
        <w:rPr>
          <w:b/>
          <w:bCs/>
        </w:rPr>
      </w:pPr>
      <w:r>
        <w:rPr>
          <w:b/>
          <w:bCs/>
        </w:rPr>
        <w:t>表 3.3-2 项目主要原辅材料一览表</w:t>
      </w:r>
    </w:p>
    <w:tbl>
      <w:tblPr>
        <w:tblStyle w:val="39"/>
        <w:tblW w:w="900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91"/>
        <w:gridCol w:w="1111"/>
        <w:gridCol w:w="1063"/>
        <w:gridCol w:w="1004"/>
        <w:gridCol w:w="1087"/>
        <w:gridCol w:w="1039"/>
        <w:gridCol w:w="1016"/>
        <w:gridCol w:w="1118"/>
        <w:gridCol w:w="10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91" w:type="dxa"/>
            <w:vMerge w:val="restart"/>
            <w:vAlign w:val="center"/>
          </w:tcPr>
          <w:p>
            <w:pPr>
              <w:pStyle w:val="137"/>
              <w:widowControl/>
              <w:adjustRightInd w:val="0"/>
              <w:jc w:val="center"/>
              <w:rPr>
                <w:rFonts w:eastAsia="新宋体"/>
                <w:b/>
                <w:szCs w:val="21"/>
              </w:rPr>
            </w:pPr>
            <w:r>
              <w:rPr>
                <w:rFonts w:eastAsia="新宋体"/>
                <w:b/>
                <w:sz w:val="21"/>
                <w:szCs w:val="21"/>
              </w:rPr>
              <w:t>序号</w:t>
            </w:r>
          </w:p>
        </w:tc>
        <w:tc>
          <w:tcPr>
            <w:tcW w:w="1111" w:type="dxa"/>
            <w:vMerge w:val="restart"/>
            <w:vAlign w:val="center"/>
          </w:tcPr>
          <w:p>
            <w:pPr>
              <w:pStyle w:val="137"/>
              <w:widowControl/>
              <w:adjustRightInd w:val="0"/>
              <w:jc w:val="center"/>
              <w:rPr>
                <w:rFonts w:eastAsia="新宋体"/>
                <w:b/>
                <w:sz w:val="21"/>
                <w:szCs w:val="21"/>
              </w:rPr>
            </w:pPr>
            <w:r>
              <w:rPr>
                <w:rFonts w:eastAsia="新宋体"/>
                <w:b/>
                <w:sz w:val="21"/>
                <w:szCs w:val="21"/>
              </w:rPr>
              <w:t>原辅料</w:t>
            </w:r>
          </w:p>
          <w:p>
            <w:pPr>
              <w:pStyle w:val="137"/>
              <w:widowControl/>
              <w:adjustRightInd w:val="0"/>
              <w:jc w:val="center"/>
              <w:rPr>
                <w:rFonts w:eastAsia="新宋体"/>
                <w:b/>
                <w:szCs w:val="21"/>
              </w:rPr>
            </w:pPr>
            <w:r>
              <w:rPr>
                <w:rFonts w:eastAsia="新宋体"/>
                <w:b/>
                <w:sz w:val="21"/>
                <w:szCs w:val="21"/>
              </w:rPr>
              <w:t>名称</w:t>
            </w:r>
          </w:p>
        </w:tc>
        <w:tc>
          <w:tcPr>
            <w:tcW w:w="3154" w:type="dxa"/>
            <w:gridSpan w:val="3"/>
            <w:tcBorders>
              <w:right w:val="single" w:color="auto" w:sz="4" w:space="0"/>
            </w:tcBorders>
            <w:vAlign w:val="center"/>
          </w:tcPr>
          <w:p>
            <w:pPr>
              <w:jc w:val="center"/>
              <w:rPr>
                <w:rFonts w:eastAsia="新宋体"/>
                <w:b/>
              </w:rPr>
            </w:pPr>
            <w:r>
              <w:rPr>
                <w:rFonts w:eastAsia="新宋体"/>
                <w:b/>
              </w:rPr>
              <w:t>环评</w:t>
            </w:r>
            <w:r>
              <w:rPr>
                <w:rFonts w:hint="eastAsia" w:eastAsia="新宋体"/>
                <w:b/>
              </w:rPr>
              <w:t>中</w:t>
            </w:r>
            <w:r>
              <w:rPr>
                <w:rFonts w:eastAsia="新宋体"/>
                <w:b/>
              </w:rPr>
              <w:t>年用量</w:t>
            </w:r>
            <w:r>
              <w:rPr>
                <w:rFonts w:hint="eastAsia" w:eastAsia="新宋体"/>
                <w:b/>
              </w:rPr>
              <w:t>（t/a）</w:t>
            </w:r>
          </w:p>
        </w:tc>
        <w:tc>
          <w:tcPr>
            <w:tcW w:w="3173" w:type="dxa"/>
            <w:gridSpan w:val="3"/>
            <w:tcBorders>
              <w:left w:val="single" w:color="auto" w:sz="4" w:space="0"/>
            </w:tcBorders>
            <w:vAlign w:val="center"/>
          </w:tcPr>
          <w:p>
            <w:pPr>
              <w:jc w:val="center"/>
              <w:rPr>
                <w:rFonts w:eastAsia="新宋体"/>
                <w:b/>
              </w:rPr>
            </w:pPr>
            <w:r>
              <w:rPr>
                <w:rFonts w:eastAsia="新宋体"/>
                <w:b/>
              </w:rPr>
              <w:t>实际</w:t>
            </w:r>
            <w:r>
              <w:rPr>
                <w:rFonts w:hint="eastAsia" w:eastAsia="新宋体"/>
                <w:b/>
              </w:rPr>
              <w:t>年</w:t>
            </w:r>
            <w:r>
              <w:rPr>
                <w:rFonts w:eastAsia="新宋体"/>
                <w:b/>
              </w:rPr>
              <w:t>用量</w:t>
            </w:r>
            <w:r>
              <w:rPr>
                <w:rFonts w:hint="eastAsia" w:eastAsia="新宋体"/>
                <w:b/>
              </w:rPr>
              <w:t>（t/a）</w:t>
            </w:r>
          </w:p>
        </w:tc>
        <w:tc>
          <w:tcPr>
            <w:tcW w:w="1077" w:type="dxa"/>
            <w:vMerge w:val="restart"/>
            <w:tcBorders>
              <w:left w:val="single" w:color="auto" w:sz="4" w:space="0"/>
            </w:tcBorders>
            <w:vAlign w:val="center"/>
          </w:tcPr>
          <w:p>
            <w:pPr>
              <w:jc w:val="center"/>
              <w:rPr>
                <w:rFonts w:eastAsia="新宋体"/>
                <w:b/>
              </w:rPr>
            </w:pPr>
            <w:r>
              <w:rPr>
                <w:rFonts w:eastAsia="新宋体"/>
                <w:b/>
              </w:rPr>
              <w:t>变化</w:t>
            </w:r>
          </w:p>
          <w:p>
            <w:pPr>
              <w:jc w:val="center"/>
              <w:rPr>
                <w:rFonts w:eastAsia="新宋体"/>
                <w:b/>
              </w:rPr>
            </w:pPr>
            <w:r>
              <w:rPr>
                <w:rFonts w:eastAsia="新宋体"/>
                <w:b/>
              </w:rPr>
              <w:t>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91" w:type="dxa"/>
            <w:vMerge w:val="continue"/>
            <w:vAlign w:val="center"/>
          </w:tcPr>
          <w:p>
            <w:pPr>
              <w:pStyle w:val="137"/>
              <w:widowControl/>
              <w:adjustRightInd w:val="0"/>
              <w:jc w:val="center"/>
              <w:rPr>
                <w:rFonts w:eastAsia="新宋体"/>
                <w:b/>
                <w:sz w:val="21"/>
                <w:szCs w:val="21"/>
              </w:rPr>
            </w:pPr>
          </w:p>
        </w:tc>
        <w:tc>
          <w:tcPr>
            <w:tcW w:w="1111" w:type="dxa"/>
            <w:vMerge w:val="continue"/>
            <w:vAlign w:val="center"/>
          </w:tcPr>
          <w:p>
            <w:pPr>
              <w:pStyle w:val="137"/>
              <w:widowControl/>
              <w:adjustRightInd w:val="0"/>
              <w:jc w:val="center"/>
              <w:rPr>
                <w:rFonts w:eastAsia="新宋体"/>
                <w:b/>
                <w:sz w:val="21"/>
                <w:szCs w:val="21"/>
              </w:rPr>
            </w:pPr>
          </w:p>
        </w:tc>
        <w:tc>
          <w:tcPr>
            <w:tcW w:w="1063" w:type="dxa"/>
            <w:tcBorders>
              <w:right w:val="single" w:color="auto" w:sz="4" w:space="0"/>
            </w:tcBorders>
            <w:vAlign w:val="center"/>
          </w:tcPr>
          <w:p>
            <w:pPr>
              <w:jc w:val="center"/>
              <w:rPr>
                <w:rFonts w:eastAsia="新宋体"/>
                <w:b/>
              </w:rPr>
            </w:pPr>
            <w:r>
              <w:rPr>
                <w:rFonts w:hint="eastAsia" w:eastAsia="新宋体"/>
                <w:b/>
              </w:rPr>
              <w:t>一期</w:t>
            </w:r>
          </w:p>
        </w:tc>
        <w:tc>
          <w:tcPr>
            <w:tcW w:w="1004" w:type="dxa"/>
            <w:tcBorders>
              <w:left w:val="single" w:color="auto" w:sz="4" w:space="0"/>
              <w:right w:val="single" w:color="auto" w:sz="4" w:space="0"/>
            </w:tcBorders>
            <w:vAlign w:val="center"/>
          </w:tcPr>
          <w:p>
            <w:pPr>
              <w:jc w:val="center"/>
              <w:rPr>
                <w:rFonts w:eastAsia="新宋体"/>
                <w:b/>
              </w:rPr>
            </w:pPr>
            <w:r>
              <w:rPr>
                <w:rFonts w:hint="eastAsia" w:eastAsia="新宋体"/>
                <w:b/>
              </w:rPr>
              <w:t>二期</w:t>
            </w:r>
          </w:p>
        </w:tc>
        <w:tc>
          <w:tcPr>
            <w:tcW w:w="1087" w:type="dxa"/>
            <w:tcBorders>
              <w:left w:val="single" w:color="auto" w:sz="4" w:space="0"/>
              <w:right w:val="single" w:color="auto" w:sz="4" w:space="0"/>
            </w:tcBorders>
            <w:vAlign w:val="center"/>
          </w:tcPr>
          <w:p>
            <w:pPr>
              <w:jc w:val="center"/>
              <w:rPr>
                <w:rFonts w:eastAsia="新宋体"/>
                <w:b/>
              </w:rPr>
            </w:pPr>
            <w:r>
              <w:rPr>
                <w:rFonts w:hint="eastAsia" w:eastAsia="新宋体"/>
                <w:b/>
              </w:rPr>
              <w:t>总用量</w:t>
            </w:r>
          </w:p>
        </w:tc>
        <w:tc>
          <w:tcPr>
            <w:tcW w:w="1039" w:type="dxa"/>
            <w:tcBorders>
              <w:left w:val="single" w:color="auto" w:sz="4" w:space="0"/>
            </w:tcBorders>
            <w:vAlign w:val="center"/>
          </w:tcPr>
          <w:p>
            <w:pPr>
              <w:jc w:val="center"/>
              <w:rPr>
                <w:rFonts w:eastAsia="新宋体"/>
                <w:b/>
                <w:highlight w:val="yellow"/>
              </w:rPr>
            </w:pPr>
            <w:r>
              <w:rPr>
                <w:rFonts w:hint="eastAsia" w:eastAsia="新宋体"/>
                <w:b/>
              </w:rPr>
              <w:t>一期</w:t>
            </w:r>
          </w:p>
        </w:tc>
        <w:tc>
          <w:tcPr>
            <w:tcW w:w="1016" w:type="dxa"/>
            <w:tcBorders>
              <w:left w:val="single" w:color="auto" w:sz="4" w:space="0"/>
            </w:tcBorders>
            <w:vAlign w:val="center"/>
          </w:tcPr>
          <w:p>
            <w:pPr>
              <w:jc w:val="center"/>
              <w:rPr>
                <w:rFonts w:eastAsia="新宋体"/>
                <w:b/>
              </w:rPr>
            </w:pPr>
            <w:r>
              <w:rPr>
                <w:rFonts w:hint="eastAsia" w:eastAsia="新宋体"/>
                <w:b/>
              </w:rPr>
              <w:t>二期</w:t>
            </w:r>
          </w:p>
        </w:tc>
        <w:tc>
          <w:tcPr>
            <w:tcW w:w="1118" w:type="dxa"/>
            <w:tcBorders>
              <w:left w:val="single" w:color="auto" w:sz="4" w:space="0"/>
            </w:tcBorders>
            <w:vAlign w:val="center"/>
          </w:tcPr>
          <w:p>
            <w:pPr>
              <w:jc w:val="center"/>
              <w:rPr>
                <w:rFonts w:eastAsia="新宋体"/>
                <w:b/>
              </w:rPr>
            </w:pPr>
            <w:r>
              <w:rPr>
                <w:rFonts w:hint="eastAsia" w:eastAsia="新宋体"/>
                <w:b/>
              </w:rPr>
              <w:t>总用量</w:t>
            </w:r>
          </w:p>
        </w:tc>
        <w:tc>
          <w:tcPr>
            <w:tcW w:w="1077" w:type="dxa"/>
            <w:vMerge w:val="continue"/>
            <w:tcBorders>
              <w:left w:val="single" w:color="auto" w:sz="4" w:space="0"/>
            </w:tcBorders>
            <w:vAlign w:val="center"/>
          </w:tcPr>
          <w:p>
            <w:pPr>
              <w:jc w:val="center"/>
              <w:rPr>
                <w:rFonts w:eastAsia="新宋体"/>
                <w:b/>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91" w:type="dxa"/>
            <w:vAlign w:val="center"/>
          </w:tcPr>
          <w:p>
            <w:pPr>
              <w:pStyle w:val="137"/>
              <w:widowControl/>
              <w:adjustRightInd w:val="0"/>
              <w:jc w:val="center"/>
              <w:rPr>
                <w:rFonts w:eastAsia="新宋体"/>
                <w:bCs/>
                <w:sz w:val="21"/>
                <w:szCs w:val="21"/>
              </w:rPr>
            </w:pPr>
            <w:r>
              <w:rPr>
                <w:rFonts w:eastAsia="新宋体"/>
                <w:bCs/>
                <w:sz w:val="21"/>
                <w:szCs w:val="21"/>
              </w:rPr>
              <w:t>1</w:t>
            </w:r>
          </w:p>
        </w:tc>
        <w:tc>
          <w:tcPr>
            <w:tcW w:w="1111" w:type="dxa"/>
            <w:vAlign w:val="center"/>
          </w:tcPr>
          <w:p>
            <w:pPr>
              <w:snapToGrid w:val="0"/>
              <w:jc w:val="center"/>
              <w:rPr>
                <w:rFonts w:eastAsia="新宋体"/>
                <w:bCs/>
              </w:rPr>
            </w:pPr>
            <w:r>
              <w:rPr>
                <w:rFonts w:hint="eastAsia" w:eastAsia="新宋体"/>
                <w:bCs/>
              </w:rPr>
              <w:t>Cl</w:t>
            </w:r>
            <w:r>
              <w:rPr>
                <w:rFonts w:hint="eastAsia" w:eastAsia="新宋体"/>
                <w:bCs/>
                <w:vertAlign w:val="subscript"/>
              </w:rPr>
              <w:t>2</w:t>
            </w:r>
          </w:p>
        </w:tc>
        <w:tc>
          <w:tcPr>
            <w:tcW w:w="1063" w:type="dxa"/>
            <w:tcBorders>
              <w:right w:val="single" w:color="auto" w:sz="4" w:space="0"/>
            </w:tcBorders>
            <w:vAlign w:val="center"/>
          </w:tcPr>
          <w:p>
            <w:pPr>
              <w:snapToGrid w:val="0"/>
              <w:jc w:val="center"/>
              <w:rPr>
                <w:bCs/>
              </w:rPr>
            </w:pPr>
            <w:r>
              <w:rPr>
                <w:rFonts w:hint="eastAsia"/>
                <w:bCs/>
              </w:rPr>
              <w:t>51215.55</w:t>
            </w:r>
          </w:p>
        </w:tc>
        <w:tc>
          <w:tcPr>
            <w:tcW w:w="1004" w:type="dxa"/>
            <w:tcBorders>
              <w:left w:val="single" w:color="auto" w:sz="4" w:space="0"/>
              <w:right w:val="single" w:color="auto" w:sz="4" w:space="0"/>
            </w:tcBorders>
            <w:vAlign w:val="center"/>
          </w:tcPr>
          <w:p>
            <w:pPr>
              <w:snapToGrid w:val="0"/>
              <w:jc w:val="center"/>
              <w:rPr>
                <w:bCs/>
              </w:rPr>
            </w:pPr>
            <w:r>
              <w:rPr>
                <w:rFonts w:hint="eastAsia"/>
                <w:bCs/>
              </w:rPr>
              <w:t>51215.55</w:t>
            </w:r>
          </w:p>
        </w:tc>
        <w:tc>
          <w:tcPr>
            <w:tcW w:w="1087" w:type="dxa"/>
            <w:tcBorders>
              <w:left w:val="single" w:color="auto" w:sz="4" w:space="0"/>
              <w:right w:val="single" w:color="auto" w:sz="4" w:space="0"/>
            </w:tcBorders>
            <w:vAlign w:val="center"/>
          </w:tcPr>
          <w:p>
            <w:pPr>
              <w:snapToGrid w:val="0"/>
              <w:jc w:val="center"/>
              <w:rPr>
                <w:bCs/>
              </w:rPr>
            </w:pPr>
            <w:r>
              <w:rPr>
                <w:rFonts w:hint="eastAsia"/>
                <w:bCs/>
              </w:rPr>
              <w:t>102431.1</w:t>
            </w:r>
          </w:p>
        </w:tc>
        <w:tc>
          <w:tcPr>
            <w:tcW w:w="1039" w:type="dxa"/>
            <w:tcBorders>
              <w:left w:val="single" w:color="auto" w:sz="4" w:space="0"/>
            </w:tcBorders>
            <w:vAlign w:val="center"/>
          </w:tcPr>
          <w:p>
            <w:pPr>
              <w:snapToGrid w:val="0"/>
              <w:jc w:val="center"/>
              <w:rPr>
                <w:rFonts w:eastAsia="新宋体"/>
                <w:bCs/>
              </w:rPr>
            </w:pPr>
            <w:r>
              <w:rPr>
                <w:rFonts w:hint="eastAsia"/>
                <w:bCs/>
              </w:rPr>
              <w:t>51215.55</w:t>
            </w:r>
          </w:p>
        </w:tc>
        <w:tc>
          <w:tcPr>
            <w:tcW w:w="1016" w:type="dxa"/>
            <w:tcBorders>
              <w:left w:val="single" w:color="auto" w:sz="4" w:space="0"/>
            </w:tcBorders>
            <w:vAlign w:val="center"/>
          </w:tcPr>
          <w:p>
            <w:pPr>
              <w:snapToGrid w:val="0"/>
              <w:jc w:val="center"/>
              <w:rPr>
                <w:rFonts w:eastAsia="新宋体"/>
                <w:bCs/>
                <w:snapToGrid w:val="0"/>
              </w:rPr>
            </w:pPr>
            <w:r>
              <w:rPr>
                <w:rFonts w:hint="eastAsia"/>
                <w:bCs/>
              </w:rPr>
              <w:t>51215.55</w:t>
            </w:r>
          </w:p>
        </w:tc>
        <w:tc>
          <w:tcPr>
            <w:tcW w:w="1118" w:type="dxa"/>
            <w:tcBorders>
              <w:left w:val="single" w:color="auto" w:sz="4" w:space="0"/>
            </w:tcBorders>
            <w:vAlign w:val="center"/>
          </w:tcPr>
          <w:p>
            <w:pPr>
              <w:snapToGrid w:val="0"/>
              <w:jc w:val="center"/>
              <w:rPr>
                <w:rFonts w:eastAsia="新宋体"/>
                <w:bCs/>
                <w:snapToGrid w:val="0"/>
              </w:rPr>
            </w:pPr>
            <w:r>
              <w:rPr>
                <w:rFonts w:hint="eastAsia"/>
                <w:bCs/>
              </w:rPr>
              <w:t>102431.1</w:t>
            </w:r>
          </w:p>
        </w:tc>
        <w:tc>
          <w:tcPr>
            <w:tcW w:w="1077" w:type="dxa"/>
            <w:tcBorders>
              <w:left w:val="single" w:color="auto" w:sz="4" w:space="0"/>
            </w:tcBorders>
            <w:vAlign w:val="center"/>
          </w:tcPr>
          <w:p>
            <w:pPr>
              <w:spacing w:line="360" w:lineRule="exact"/>
              <w:jc w:val="center"/>
              <w:rPr>
                <w:rFonts w:eastAsia="新宋体"/>
                <w:bCs/>
                <w:snapToGrid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91" w:type="dxa"/>
            <w:vAlign w:val="center"/>
          </w:tcPr>
          <w:p>
            <w:pPr>
              <w:pStyle w:val="137"/>
              <w:widowControl/>
              <w:adjustRightInd w:val="0"/>
              <w:jc w:val="center"/>
              <w:rPr>
                <w:rFonts w:eastAsia="新宋体"/>
                <w:bCs/>
                <w:sz w:val="21"/>
                <w:szCs w:val="21"/>
              </w:rPr>
            </w:pPr>
            <w:r>
              <w:rPr>
                <w:rFonts w:eastAsia="新宋体"/>
                <w:bCs/>
                <w:sz w:val="21"/>
                <w:szCs w:val="21"/>
              </w:rPr>
              <w:t>2</w:t>
            </w:r>
          </w:p>
        </w:tc>
        <w:tc>
          <w:tcPr>
            <w:tcW w:w="1111" w:type="dxa"/>
            <w:vAlign w:val="center"/>
          </w:tcPr>
          <w:p>
            <w:pPr>
              <w:snapToGrid w:val="0"/>
              <w:jc w:val="center"/>
              <w:rPr>
                <w:rFonts w:eastAsia="新宋体"/>
                <w:bCs/>
              </w:rPr>
            </w:pPr>
            <w:r>
              <w:rPr>
                <w:rFonts w:hint="eastAsia" w:eastAsia="新宋体"/>
                <w:bCs/>
              </w:rPr>
              <w:t>液碱（32%）</w:t>
            </w:r>
          </w:p>
        </w:tc>
        <w:tc>
          <w:tcPr>
            <w:tcW w:w="1063" w:type="dxa"/>
            <w:tcBorders>
              <w:right w:val="single" w:color="auto" w:sz="4" w:space="0"/>
            </w:tcBorders>
            <w:vAlign w:val="center"/>
          </w:tcPr>
          <w:p>
            <w:pPr>
              <w:snapToGrid w:val="0"/>
              <w:jc w:val="center"/>
              <w:rPr>
                <w:bCs/>
              </w:rPr>
            </w:pPr>
            <w:r>
              <w:rPr>
                <w:rFonts w:hint="eastAsia"/>
                <w:bCs/>
              </w:rPr>
              <w:t>987</w:t>
            </w:r>
          </w:p>
        </w:tc>
        <w:tc>
          <w:tcPr>
            <w:tcW w:w="1004" w:type="dxa"/>
            <w:tcBorders>
              <w:left w:val="single" w:color="auto" w:sz="4" w:space="0"/>
              <w:right w:val="single" w:color="auto" w:sz="4" w:space="0"/>
            </w:tcBorders>
            <w:vAlign w:val="center"/>
          </w:tcPr>
          <w:p>
            <w:pPr>
              <w:snapToGrid w:val="0"/>
              <w:jc w:val="center"/>
              <w:rPr>
                <w:bCs/>
              </w:rPr>
            </w:pPr>
            <w:r>
              <w:rPr>
                <w:rFonts w:hint="eastAsia"/>
                <w:bCs/>
              </w:rPr>
              <w:t>987</w:t>
            </w:r>
          </w:p>
        </w:tc>
        <w:tc>
          <w:tcPr>
            <w:tcW w:w="1087" w:type="dxa"/>
            <w:tcBorders>
              <w:left w:val="single" w:color="auto" w:sz="4" w:space="0"/>
              <w:right w:val="single" w:color="auto" w:sz="4" w:space="0"/>
            </w:tcBorders>
            <w:vAlign w:val="center"/>
          </w:tcPr>
          <w:p>
            <w:pPr>
              <w:snapToGrid w:val="0"/>
              <w:jc w:val="center"/>
              <w:rPr>
                <w:bCs/>
              </w:rPr>
            </w:pPr>
            <w:r>
              <w:rPr>
                <w:rFonts w:hint="eastAsia"/>
                <w:bCs/>
              </w:rPr>
              <w:t>1974</w:t>
            </w:r>
          </w:p>
        </w:tc>
        <w:tc>
          <w:tcPr>
            <w:tcW w:w="1039" w:type="dxa"/>
            <w:tcBorders>
              <w:left w:val="single" w:color="auto" w:sz="4" w:space="0"/>
            </w:tcBorders>
            <w:vAlign w:val="center"/>
          </w:tcPr>
          <w:p>
            <w:pPr>
              <w:snapToGrid w:val="0"/>
              <w:jc w:val="center"/>
              <w:rPr>
                <w:rFonts w:eastAsia="新宋体"/>
                <w:bCs/>
              </w:rPr>
            </w:pPr>
            <w:r>
              <w:rPr>
                <w:rFonts w:hint="eastAsia"/>
                <w:bCs/>
              </w:rPr>
              <w:t>987</w:t>
            </w:r>
          </w:p>
        </w:tc>
        <w:tc>
          <w:tcPr>
            <w:tcW w:w="1016" w:type="dxa"/>
            <w:tcBorders>
              <w:left w:val="single" w:color="auto" w:sz="4" w:space="0"/>
            </w:tcBorders>
            <w:vAlign w:val="center"/>
          </w:tcPr>
          <w:p>
            <w:pPr>
              <w:snapToGrid w:val="0"/>
              <w:jc w:val="center"/>
              <w:rPr>
                <w:rFonts w:eastAsia="新宋体"/>
                <w:bCs/>
                <w:snapToGrid w:val="0"/>
              </w:rPr>
            </w:pPr>
            <w:r>
              <w:rPr>
                <w:rFonts w:hint="eastAsia"/>
                <w:bCs/>
              </w:rPr>
              <w:t>987</w:t>
            </w:r>
          </w:p>
        </w:tc>
        <w:tc>
          <w:tcPr>
            <w:tcW w:w="1118" w:type="dxa"/>
            <w:tcBorders>
              <w:left w:val="single" w:color="auto" w:sz="4" w:space="0"/>
            </w:tcBorders>
            <w:vAlign w:val="center"/>
          </w:tcPr>
          <w:p>
            <w:pPr>
              <w:snapToGrid w:val="0"/>
              <w:jc w:val="center"/>
              <w:rPr>
                <w:rFonts w:eastAsia="新宋体"/>
                <w:bCs/>
                <w:snapToGrid w:val="0"/>
              </w:rPr>
            </w:pPr>
            <w:r>
              <w:rPr>
                <w:rFonts w:hint="eastAsia"/>
                <w:bCs/>
              </w:rPr>
              <w:t>1974</w:t>
            </w:r>
          </w:p>
        </w:tc>
        <w:tc>
          <w:tcPr>
            <w:tcW w:w="1077" w:type="dxa"/>
            <w:tcBorders>
              <w:left w:val="single" w:color="auto" w:sz="4" w:space="0"/>
            </w:tcBorders>
            <w:vAlign w:val="center"/>
          </w:tcPr>
          <w:p>
            <w:pPr>
              <w:spacing w:line="360" w:lineRule="exact"/>
              <w:jc w:val="center"/>
              <w:rPr>
                <w:rFonts w:eastAsia="新宋体"/>
                <w:bCs/>
                <w:snapToGrid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91" w:type="dxa"/>
            <w:vAlign w:val="center"/>
          </w:tcPr>
          <w:p>
            <w:pPr>
              <w:pStyle w:val="137"/>
              <w:widowControl/>
              <w:adjustRightInd w:val="0"/>
              <w:jc w:val="center"/>
              <w:rPr>
                <w:rFonts w:eastAsia="新宋体"/>
                <w:bCs/>
                <w:sz w:val="21"/>
                <w:szCs w:val="21"/>
              </w:rPr>
            </w:pPr>
            <w:r>
              <w:rPr>
                <w:rFonts w:eastAsia="新宋体"/>
                <w:bCs/>
                <w:sz w:val="21"/>
                <w:szCs w:val="21"/>
              </w:rPr>
              <w:t>3</w:t>
            </w:r>
          </w:p>
        </w:tc>
        <w:tc>
          <w:tcPr>
            <w:tcW w:w="1111" w:type="dxa"/>
            <w:vAlign w:val="center"/>
          </w:tcPr>
          <w:p>
            <w:pPr>
              <w:snapToGrid w:val="0"/>
              <w:jc w:val="center"/>
              <w:rPr>
                <w:rFonts w:eastAsia="新宋体"/>
                <w:bCs/>
              </w:rPr>
            </w:pPr>
            <w:r>
              <w:rPr>
                <w:rFonts w:hint="eastAsia" w:eastAsia="新宋体"/>
                <w:bCs/>
              </w:rPr>
              <w:t>石蜡</w:t>
            </w:r>
          </w:p>
        </w:tc>
        <w:tc>
          <w:tcPr>
            <w:tcW w:w="1063" w:type="dxa"/>
            <w:tcBorders>
              <w:right w:val="single" w:color="auto" w:sz="4" w:space="0"/>
            </w:tcBorders>
            <w:vAlign w:val="center"/>
          </w:tcPr>
          <w:p>
            <w:pPr>
              <w:snapToGrid w:val="0"/>
              <w:jc w:val="center"/>
              <w:rPr>
                <w:bCs/>
              </w:rPr>
            </w:pPr>
            <w:r>
              <w:rPr>
                <w:rFonts w:hint="eastAsia"/>
                <w:bCs/>
              </w:rPr>
              <w:t>25240</w:t>
            </w:r>
          </w:p>
        </w:tc>
        <w:tc>
          <w:tcPr>
            <w:tcW w:w="1004" w:type="dxa"/>
            <w:tcBorders>
              <w:left w:val="single" w:color="auto" w:sz="4" w:space="0"/>
              <w:right w:val="single" w:color="auto" w:sz="4" w:space="0"/>
            </w:tcBorders>
            <w:vAlign w:val="center"/>
          </w:tcPr>
          <w:p>
            <w:pPr>
              <w:snapToGrid w:val="0"/>
              <w:jc w:val="center"/>
              <w:rPr>
                <w:bCs/>
              </w:rPr>
            </w:pPr>
            <w:r>
              <w:rPr>
                <w:rFonts w:hint="eastAsia"/>
                <w:bCs/>
              </w:rPr>
              <w:t>25240</w:t>
            </w:r>
          </w:p>
        </w:tc>
        <w:tc>
          <w:tcPr>
            <w:tcW w:w="1087" w:type="dxa"/>
            <w:tcBorders>
              <w:left w:val="single" w:color="auto" w:sz="4" w:space="0"/>
              <w:right w:val="single" w:color="auto" w:sz="4" w:space="0"/>
            </w:tcBorders>
            <w:vAlign w:val="center"/>
          </w:tcPr>
          <w:p>
            <w:pPr>
              <w:snapToGrid w:val="0"/>
              <w:jc w:val="center"/>
              <w:rPr>
                <w:bCs/>
              </w:rPr>
            </w:pPr>
            <w:r>
              <w:rPr>
                <w:rFonts w:hint="eastAsia"/>
                <w:bCs/>
              </w:rPr>
              <w:t>50480</w:t>
            </w:r>
          </w:p>
        </w:tc>
        <w:tc>
          <w:tcPr>
            <w:tcW w:w="1039" w:type="dxa"/>
            <w:tcBorders>
              <w:left w:val="single" w:color="auto" w:sz="4" w:space="0"/>
            </w:tcBorders>
            <w:vAlign w:val="center"/>
          </w:tcPr>
          <w:p>
            <w:pPr>
              <w:snapToGrid w:val="0"/>
              <w:jc w:val="center"/>
              <w:rPr>
                <w:rFonts w:eastAsia="新宋体"/>
                <w:bCs/>
              </w:rPr>
            </w:pPr>
            <w:r>
              <w:rPr>
                <w:rFonts w:hint="eastAsia"/>
                <w:bCs/>
              </w:rPr>
              <w:t>25240</w:t>
            </w:r>
          </w:p>
        </w:tc>
        <w:tc>
          <w:tcPr>
            <w:tcW w:w="1016" w:type="dxa"/>
            <w:tcBorders>
              <w:left w:val="single" w:color="auto" w:sz="4" w:space="0"/>
            </w:tcBorders>
            <w:vAlign w:val="center"/>
          </w:tcPr>
          <w:p>
            <w:pPr>
              <w:snapToGrid w:val="0"/>
              <w:jc w:val="center"/>
              <w:rPr>
                <w:rFonts w:eastAsia="新宋体"/>
                <w:bCs/>
                <w:snapToGrid w:val="0"/>
              </w:rPr>
            </w:pPr>
            <w:r>
              <w:rPr>
                <w:rFonts w:hint="eastAsia"/>
                <w:bCs/>
              </w:rPr>
              <w:t>25240</w:t>
            </w:r>
          </w:p>
        </w:tc>
        <w:tc>
          <w:tcPr>
            <w:tcW w:w="1118" w:type="dxa"/>
            <w:tcBorders>
              <w:left w:val="single" w:color="auto" w:sz="4" w:space="0"/>
            </w:tcBorders>
            <w:vAlign w:val="center"/>
          </w:tcPr>
          <w:p>
            <w:pPr>
              <w:snapToGrid w:val="0"/>
              <w:jc w:val="center"/>
              <w:rPr>
                <w:rFonts w:eastAsia="新宋体"/>
                <w:bCs/>
                <w:snapToGrid w:val="0"/>
              </w:rPr>
            </w:pPr>
            <w:r>
              <w:rPr>
                <w:rFonts w:hint="eastAsia"/>
                <w:bCs/>
              </w:rPr>
              <w:t>50480</w:t>
            </w:r>
          </w:p>
        </w:tc>
        <w:tc>
          <w:tcPr>
            <w:tcW w:w="1077" w:type="dxa"/>
            <w:tcBorders>
              <w:left w:val="single" w:color="auto" w:sz="4" w:space="0"/>
            </w:tcBorders>
            <w:vAlign w:val="center"/>
          </w:tcPr>
          <w:p>
            <w:pPr>
              <w:spacing w:line="360" w:lineRule="exact"/>
              <w:jc w:val="center"/>
              <w:rPr>
                <w:rFonts w:eastAsia="新宋体"/>
                <w:bCs/>
                <w:snapToGrid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91" w:type="dxa"/>
            <w:vAlign w:val="center"/>
          </w:tcPr>
          <w:p>
            <w:pPr>
              <w:pStyle w:val="137"/>
              <w:widowControl/>
              <w:adjustRightInd w:val="0"/>
              <w:jc w:val="center"/>
              <w:rPr>
                <w:rFonts w:eastAsia="新宋体"/>
                <w:bCs/>
                <w:sz w:val="21"/>
                <w:szCs w:val="21"/>
              </w:rPr>
            </w:pPr>
            <w:r>
              <w:rPr>
                <w:rFonts w:hint="eastAsia" w:eastAsia="新宋体"/>
                <w:bCs/>
                <w:sz w:val="21"/>
                <w:szCs w:val="21"/>
              </w:rPr>
              <w:t>4</w:t>
            </w:r>
          </w:p>
        </w:tc>
        <w:tc>
          <w:tcPr>
            <w:tcW w:w="1111" w:type="dxa"/>
            <w:vAlign w:val="center"/>
          </w:tcPr>
          <w:p>
            <w:pPr>
              <w:snapToGrid w:val="0"/>
              <w:jc w:val="center"/>
              <w:rPr>
                <w:rFonts w:eastAsia="新宋体"/>
                <w:bCs/>
              </w:rPr>
            </w:pPr>
            <w:r>
              <w:rPr>
                <w:rFonts w:hint="eastAsia" w:eastAsia="新宋体"/>
                <w:bCs/>
              </w:rPr>
              <w:t>稳定剂（乙二</w:t>
            </w:r>
          </w:p>
          <w:p>
            <w:pPr>
              <w:snapToGrid w:val="0"/>
              <w:jc w:val="center"/>
              <w:rPr>
                <w:rFonts w:eastAsia="新宋体"/>
                <w:bCs/>
              </w:rPr>
            </w:pPr>
            <w:r>
              <w:rPr>
                <w:rFonts w:hint="eastAsia" w:eastAsia="新宋体"/>
                <w:bCs/>
              </w:rPr>
              <w:t>醇二缩水甘油醚）</w:t>
            </w:r>
          </w:p>
        </w:tc>
        <w:tc>
          <w:tcPr>
            <w:tcW w:w="1063" w:type="dxa"/>
            <w:tcBorders>
              <w:right w:val="single" w:color="auto" w:sz="4" w:space="0"/>
            </w:tcBorders>
            <w:vAlign w:val="center"/>
          </w:tcPr>
          <w:p>
            <w:pPr>
              <w:snapToGrid w:val="0"/>
              <w:jc w:val="center"/>
              <w:rPr>
                <w:bCs/>
              </w:rPr>
            </w:pPr>
            <w:r>
              <w:rPr>
                <w:rFonts w:hint="eastAsia"/>
                <w:bCs/>
              </w:rPr>
              <w:t>90</w:t>
            </w:r>
          </w:p>
        </w:tc>
        <w:tc>
          <w:tcPr>
            <w:tcW w:w="1004" w:type="dxa"/>
            <w:tcBorders>
              <w:left w:val="single" w:color="auto" w:sz="4" w:space="0"/>
              <w:right w:val="single" w:color="auto" w:sz="4" w:space="0"/>
            </w:tcBorders>
            <w:vAlign w:val="center"/>
          </w:tcPr>
          <w:p>
            <w:pPr>
              <w:snapToGrid w:val="0"/>
              <w:jc w:val="center"/>
              <w:rPr>
                <w:bCs/>
              </w:rPr>
            </w:pPr>
            <w:r>
              <w:rPr>
                <w:rFonts w:hint="eastAsia"/>
                <w:bCs/>
              </w:rPr>
              <w:t>90</w:t>
            </w:r>
          </w:p>
        </w:tc>
        <w:tc>
          <w:tcPr>
            <w:tcW w:w="1087" w:type="dxa"/>
            <w:tcBorders>
              <w:left w:val="single" w:color="auto" w:sz="4" w:space="0"/>
              <w:right w:val="single" w:color="auto" w:sz="4" w:space="0"/>
            </w:tcBorders>
            <w:vAlign w:val="center"/>
          </w:tcPr>
          <w:p>
            <w:pPr>
              <w:snapToGrid w:val="0"/>
              <w:jc w:val="center"/>
              <w:rPr>
                <w:bCs/>
              </w:rPr>
            </w:pPr>
            <w:r>
              <w:rPr>
                <w:rFonts w:hint="eastAsia"/>
                <w:bCs/>
              </w:rPr>
              <w:t>180</w:t>
            </w:r>
          </w:p>
        </w:tc>
        <w:tc>
          <w:tcPr>
            <w:tcW w:w="1039" w:type="dxa"/>
            <w:tcBorders>
              <w:left w:val="single" w:color="auto" w:sz="4" w:space="0"/>
            </w:tcBorders>
            <w:vAlign w:val="center"/>
          </w:tcPr>
          <w:p>
            <w:pPr>
              <w:snapToGrid w:val="0"/>
              <w:jc w:val="center"/>
              <w:rPr>
                <w:rFonts w:eastAsia="新宋体"/>
                <w:bCs/>
              </w:rPr>
            </w:pPr>
            <w:r>
              <w:rPr>
                <w:rFonts w:hint="eastAsia"/>
                <w:bCs/>
              </w:rPr>
              <w:t>90</w:t>
            </w:r>
          </w:p>
        </w:tc>
        <w:tc>
          <w:tcPr>
            <w:tcW w:w="1016" w:type="dxa"/>
            <w:tcBorders>
              <w:left w:val="single" w:color="auto" w:sz="4" w:space="0"/>
            </w:tcBorders>
            <w:vAlign w:val="center"/>
          </w:tcPr>
          <w:p>
            <w:pPr>
              <w:snapToGrid w:val="0"/>
              <w:jc w:val="center"/>
              <w:rPr>
                <w:rFonts w:eastAsia="新宋体"/>
                <w:bCs/>
                <w:snapToGrid w:val="0"/>
              </w:rPr>
            </w:pPr>
            <w:r>
              <w:rPr>
                <w:rFonts w:hint="eastAsia"/>
                <w:bCs/>
              </w:rPr>
              <w:t>90</w:t>
            </w:r>
          </w:p>
        </w:tc>
        <w:tc>
          <w:tcPr>
            <w:tcW w:w="1118" w:type="dxa"/>
            <w:tcBorders>
              <w:left w:val="single" w:color="auto" w:sz="4" w:space="0"/>
            </w:tcBorders>
            <w:vAlign w:val="center"/>
          </w:tcPr>
          <w:p>
            <w:pPr>
              <w:snapToGrid w:val="0"/>
              <w:jc w:val="center"/>
              <w:rPr>
                <w:rFonts w:eastAsia="新宋体"/>
                <w:bCs/>
                <w:snapToGrid w:val="0"/>
              </w:rPr>
            </w:pPr>
            <w:r>
              <w:rPr>
                <w:rFonts w:hint="eastAsia"/>
                <w:bCs/>
              </w:rPr>
              <w:t>180</w:t>
            </w:r>
          </w:p>
        </w:tc>
        <w:tc>
          <w:tcPr>
            <w:tcW w:w="1077" w:type="dxa"/>
            <w:tcBorders>
              <w:left w:val="single" w:color="auto" w:sz="4" w:space="0"/>
            </w:tcBorders>
            <w:vAlign w:val="center"/>
          </w:tcPr>
          <w:p>
            <w:pPr>
              <w:spacing w:line="360" w:lineRule="exact"/>
              <w:jc w:val="center"/>
              <w:rPr>
                <w:rFonts w:eastAsia="新宋体"/>
                <w:bCs/>
                <w:snapToGrid w:val="0"/>
              </w:rPr>
            </w:pPr>
            <w:r>
              <w:rPr>
                <w:rFonts w:hint="eastAsia"/>
              </w:rPr>
              <w:t>无变化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006" w:type="dxa"/>
            <w:gridSpan w:val="9"/>
            <w:vAlign w:val="center"/>
          </w:tcPr>
          <w:p>
            <w:pPr>
              <w:spacing w:line="360" w:lineRule="exact"/>
              <w:rPr>
                <w:rFonts w:eastAsia="新宋体"/>
                <w:bCs/>
                <w:snapToGrid w:val="0"/>
              </w:rPr>
            </w:pPr>
            <w:r>
              <w:rPr>
                <w:rFonts w:hint="eastAsia" w:eastAsia="新宋体"/>
                <w:bCs/>
                <w:snapToGrid w:val="0"/>
              </w:rPr>
              <w:t>备注：原料氯气来自于昊邦化学液氯储罐，经汽化器汽化后汇入佰润新材氯气输送主管送至该项氯气缓冲罐，不储存，佰润新材氯气输送主管的输送能力满足项目使用要求（详见附件）；昊邦化学氯气年产量为66.4 万吨，内部年耗14.9 万吨，外售51.5 万吨，满足该项目氯气使用要求。</w:t>
            </w:r>
          </w:p>
        </w:tc>
      </w:tr>
    </w:tbl>
    <w:p>
      <w:pPr>
        <w:pStyle w:val="10"/>
        <w:spacing w:line="360" w:lineRule="auto"/>
        <w:contextualSpacing/>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10"/>
        <w:spacing w:line="360" w:lineRule="auto"/>
        <w:contextualSpacing/>
        <w:jc w:val="center"/>
        <w:sectPr>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bookmarkStart w:id="28" w:name="_Toc26718"/>
      <w:r>
        <w:rPr>
          <w:kern w:val="0"/>
          <w:sz w:val="21"/>
          <w:szCs w:val="21"/>
        </w:rPr>
        <w:t>图3.3-1</w:t>
      </w:r>
      <w:r>
        <w:rPr>
          <w:rFonts w:hint="eastAsia"/>
          <w:kern w:val="0"/>
          <w:sz w:val="21"/>
          <w:szCs w:val="21"/>
        </w:rPr>
        <w:t>氯化石蜡-52物料平衡图</w:t>
      </w:r>
      <w:r>
        <w:rPr>
          <w:kern w:val="0"/>
          <w:sz w:val="21"/>
          <w:szCs w:val="21"/>
        </w:rPr>
        <w:t xml:space="preserve"> </w:t>
      </w:r>
      <w:r>
        <w:rPr>
          <w:rFonts w:hint="eastAsia"/>
          <w:kern w:val="0"/>
          <w:sz w:val="21"/>
          <w:szCs w:val="21"/>
        </w:rPr>
        <w:t>（</w:t>
      </w:r>
      <w:r>
        <w:rPr>
          <w:kern w:val="0"/>
          <w:sz w:val="21"/>
          <w:szCs w:val="21"/>
        </w:rPr>
        <w:t>t/a</w:t>
      </w:r>
      <w:r>
        <w:rPr>
          <w:rFonts w:hint="eastAsia"/>
          <w:kern w:val="0"/>
          <w:sz w:val="21"/>
          <w:szCs w:val="21"/>
        </w:rPr>
        <w:t>）</w:t>
      </w:r>
      <w:r>
        <w:drawing>
          <wp:anchor distT="0" distB="0" distL="114300" distR="114300" simplePos="0" relativeHeight="251664384" behindDoc="0" locked="0" layoutInCell="1" allowOverlap="1">
            <wp:simplePos x="0" y="0"/>
            <wp:positionH relativeFrom="column">
              <wp:posOffset>0</wp:posOffset>
            </wp:positionH>
            <wp:positionV relativeFrom="paragraph">
              <wp:posOffset>90805</wp:posOffset>
            </wp:positionV>
            <wp:extent cx="5076825" cy="4678045"/>
            <wp:effectExtent l="0" t="0" r="9525" b="8255"/>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28"/>
                    <a:stretch>
                      <a:fillRect/>
                    </a:stretch>
                  </pic:blipFill>
                  <pic:spPr>
                    <a:xfrm>
                      <a:off x="0" y="0"/>
                      <a:ext cx="5076825" cy="4678045"/>
                    </a:xfrm>
                    <a:prstGeom prst="rect">
                      <a:avLst/>
                    </a:prstGeom>
                    <a:noFill/>
                    <a:ln>
                      <a:noFill/>
                    </a:ln>
                  </pic:spPr>
                </pic:pic>
              </a:graphicData>
            </a:graphic>
          </wp:anchor>
        </w:drawing>
      </w:r>
      <w:bookmarkEnd w:id="28"/>
    </w:p>
    <w:p>
      <w:pPr>
        <w:spacing w:line="360" w:lineRule="auto"/>
        <w:jc w:val="center"/>
        <w:rPr>
          <w:b/>
          <w:bCs/>
          <w:kern w:val="0"/>
        </w:rPr>
      </w:pPr>
      <w:r>
        <w:drawing>
          <wp:anchor distT="0" distB="0" distL="114300" distR="114300" simplePos="0" relativeHeight="251665408" behindDoc="0" locked="0" layoutInCell="1" allowOverlap="1">
            <wp:simplePos x="0" y="0"/>
            <wp:positionH relativeFrom="column">
              <wp:posOffset>201930</wp:posOffset>
            </wp:positionH>
            <wp:positionV relativeFrom="paragraph">
              <wp:posOffset>83820</wp:posOffset>
            </wp:positionV>
            <wp:extent cx="4822190" cy="4010025"/>
            <wp:effectExtent l="0" t="0" r="16510" b="952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29"/>
                    <a:stretch>
                      <a:fillRect/>
                    </a:stretch>
                  </pic:blipFill>
                  <pic:spPr>
                    <a:xfrm>
                      <a:off x="0" y="0"/>
                      <a:ext cx="4822190" cy="4010025"/>
                    </a:xfrm>
                    <a:prstGeom prst="rect">
                      <a:avLst/>
                    </a:prstGeom>
                    <a:noFill/>
                    <a:ln>
                      <a:noFill/>
                    </a:ln>
                  </pic:spPr>
                </pic:pic>
              </a:graphicData>
            </a:graphic>
          </wp:anchor>
        </w:drawing>
      </w:r>
      <w:r>
        <w:rPr>
          <w:b/>
          <w:bCs/>
          <w:kern w:val="0"/>
        </w:rPr>
        <w:t>图3.3-2</w:t>
      </w:r>
      <w:r>
        <w:rPr>
          <w:rFonts w:hint="eastAsia"/>
          <w:b/>
          <w:bCs/>
          <w:kern w:val="0"/>
        </w:rPr>
        <w:t>氯化石蜡-52氯离子平衡图（t/a）</w:t>
      </w:r>
    </w:p>
    <w:p>
      <w:pPr>
        <w:tabs>
          <w:tab w:val="left" w:pos="461"/>
        </w:tabs>
      </w:pPr>
      <w:r>
        <w:drawing>
          <wp:anchor distT="0" distB="0" distL="114300" distR="114300" simplePos="0" relativeHeight="251666432" behindDoc="0" locked="0" layoutInCell="1" allowOverlap="1">
            <wp:simplePos x="0" y="0"/>
            <wp:positionH relativeFrom="column">
              <wp:posOffset>-352425</wp:posOffset>
            </wp:positionH>
            <wp:positionV relativeFrom="paragraph">
              <wp:posOffset>6985</wp:posOffset>
            </wp:positionV>
            <wp:extent cx="5563870" cy="3839845"/>
            <wp:effectExtent l="0" t="0" r="17780" b="8255"/>
            <wp:wrapSquare wrapText="bothSides"/>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30"/>
                    <a:stretch>
                      <a:fillRect/>
                    </a:stretch>
                  </pic:blipFill>
                  <pic:spPr>
                    <a:xfrm>
                      <a:off x="0" y="0"/>
                      <a:ext cx="5563870" cy="3839845"/>
                    </a:xfrm>
                    <a:prstGeom prst="rect">
                      <a:avLst/>
                    </a:prstGeom>
                    <a:noFill/>
                    <a:ln>
                      <a:noFill/>
                    </a:ln>
                  </pic:spPr>
                </pic:pic>
              </a:graphicData>
            </a:graphic>
          </wp:anchor>
        </w:drawing>
      </w:r>
    </w:p>
    <w:p>
      <w:pPr>
        <w:pStyle w:val="19"/>
        <w:ind w:firstLine="0" w:firstLineChars="0"/>
        <w:jc w:val="cente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b/>
          <w:bCs/>
          <w:kern w:val="0"/>
        </w:rPr>
        <w:t>图3.3-</w:t>
      </w:r>
      <w:r>
        <w:rPr>
          <w:rFonts w:hint="eastAsia"/>
          <w:b/>
          <w:bCs/>
          <w:kern w:val="0"/>
        </w:rPr>
        <w:t>3  31%盐酸和次氯酸钠（有效氯 10%）物料平衡图（t/a）</w:t>
      </w:r>
    </w:p>
    <w:p>
      <w:pPr>
        <w:pStyle w:val="11"/>
        <w:jc w:val="center"/>
        <w:rPr>
          <w:kern w:val="0"/>
        </w:rPr>
      </w:pPr>
      <w:bookmarkStart w:id="29" w:name="_Toc16441"/>
      <w:bookmarkStart w:id="30" w:name="_Toc45202665"/>
      <w:bookmarkStart w:id="31" w:name="_Toc45203801"/>
      <w:r>
        <w:drawing>
          <wp:anchor distT="0" distB="0" distL="114300" distR="114300" simplePos="0" relativeHeight="251667456" behindDoc="0" locked="0" layoutInCell="1" allowOverlap="1">
            <wp:simplePos x="0" y="0"/>
            <wp:positionH relativeFrom="column">
              <wp:posOffset>-635</wp:posOffset>
            </wp:positionH>
            <wp:positionV relativeFrom="paragraph">
              <wp:posOffset>83820</wp:posOffset>
            </wp:positionV>
            <wp:extent cx="5267325" cy="3773170"/>
            <wp:effectExtent l="0" t="0" r="9525" b="17780"/>
            <wp:wrapSquare wrapText="bothSides"/>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31"/>
                    <a:stretch>
                      <a:fillRect/>
                    </a:stretch>
                  </pic:blipFill>
                  <pic:spPr>
                    <a:xfrm>
                      <a:off x="0" y="0"/>
                      <a:ext cx="5267325" cy="3773170"/>
                    </a:xfrm>
                    <a:prstGeom prst="rect">
                      <a:avLst/>
                    </a:prstGeom>
                    <a:noFill/>
                    <a:ln>
                      <a:noFill/>
                    </a:ln>
                  </pic:spPr>
                </pic:pic>
              </a:graphicData>
            </a:graphic>
          </wp:anchor>
        </w:drawing>
      </w:r>
      <w:r>
        <w:rPr>
          <w:kern w:val="0"/>
        </w:rPr>
        <w:t>图3.3-</w:t>
      </w:r>
      <w:r>
        <w:rPr>
          <w:rFonts w:hint="eastAsia"/>
          <w:kern w:val="0"/>
        </w:rPr>
        <w:t>4  31%盐酸和次氯酸钠（有效氯 10%）氯离子物料平衡图（t/a）</w:t>
      </w:r>
      <w:bookmarkEnd w:id="29"/>
    </w:p>
    <w:p>
      <w:r>
        <w:drawing>
          <wp:anchor distT="0" distB="0" distL="114300" distR="114300" simplePos="0" relativeHeight="251670528" behindDoc="0" locked="0" layoutInCell="1" allowOverlap="1">
            <wp:simplePos x="0" y="0"/>
            <wp:positionH relativeFrom="column">
              <wp:posOffset>-209550</wp:posOffset>
            </wp:positionH>
            <wp:positionV relativeFrom="paragraph">
              <wp:posOffset>68580</wp:posOffset>
            </wp:positionV>
            <wp:extent cx="5562600" cy="4205605"/>
            <wp:effectExtent l="0" t="0" r="0" b="4445"/>
            <wp:wrapSquare wrapText="bothSides"/>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icPr>
                  <pic:blipFill>
                    <a:blip r:embed="rId32"/>
                    <a:stretch>
                      <a:fillRect/>
                    </a:stretch>
                  </pic:blipFill>
                  <pic:spPr>
                    <a:xfrm>
                      <a:off x="0" y="0"/>
                      <a:ext cx="5562600" cy="4205605"/>
                    </a:xfrm>
                    <a:prstGeom prst="rect">
                      <a:avLst/>
                    </a:prstGeom>
                    <a:noFill/>
                    <a:ln>
                      <a:noFill/>
                    </a:ln>
                  </pic:spPr>
                </pic:pic>
              </a:graphicData>
            </a:graphic>
          </wp:anchor>
        </w:drawing>
      </w:r>
    </w:p>
    <w:p>
      <w:pPr>
        <w:jc w:val="center"/>
        <w:rPr>
          <w:b/>
          <w:bCs/>
          <w:kern w:val="0"/>
        </w:rPr>
      </w:pPr>
      <w:r>
        <w:rPr>
          <w:b/>
          <w:bCs/>
          <w:kern w:val="0"/>
        </w:rPr>
        <w:t>图3.3-</w:t>
      </w:r>
      <w:r>
        <w:rPr>
          <w:rFonts w:hint="eastAsia"/>
          <w:b/>
          <w:bCs/>
          <w:kern w:val="0"/>
        </w:rPr>
        <w:t>5项目物料平衡图（t/a）</w:t>
      </w:r>
    </w:p>
    <w:p>
      <w:pPr>
        <w:pStyle w:val="19"/>
      </w:pPr>
    </w:p>
    <w:p>
      <w:pPr>
        <w:pStyle w:val="19"/>
        <w:ind w:firstLine="0" w:firstLineChars="0"/>
        <w:rPr>
          <w:b/>
          <w:bCs/>
          <w:kern w:val="0"/>
        </w:rPr>
      </w:pPr>
      <w:r>
        <w:drawing>
          <wp:anchor distT="0" distB="0" distL="114300" distR="114300" simplePos="0" relativeHeight="251671552" behindDoc="0" locked="0" layoutInCell="1" allowOverlap="1">
            <wp:simplePos x="0" y="0"/>
            <wp:positionH relativeFrom="column">
              <wp:posOffset>-254635</wp:posOffset>
            </wp:positionH>
            <wp:positionV relativeFrom="paragraph">
              <wp:posOffset>66675</wp:posOffset>
            </wp:positionV>
            <wp:extent cx="5580380" cy="4225290"/>
            <wp:effectExtent l="0" t="0" r="1270" b="3810"/>
            <wp:wrapSquare wrapText="bothSides"/>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33"/>
                    <a:stretch>
                      <a:fillRect/>
                    </a:stretch>
                  </pic:blipFill>
                  <pic:spPr>
                    <a:xfrm>
                      <a:off x="0" y="0"/>
                      <a:ext cx="5580380" cy="4225290"/>
                    </a:xfrm>
                    <a:prstGeom prst="rect">
                      <a:avLst/>
                    </a:prstGeom>
                    <a:noFill/>
                    <a:ln>
                      <a:noFill/>
                    </a:ln>
                  </pic:spPr>
                </pic:pic>
              </a:graphicData>
            </a:graphic>
          </wp:anchor>
        </w:drawing>
      </w:r>
    </w:p>
    <w:p>
      <w:pPr>
        <w:jc w:val="center"/>
        <w:rPr>
          <w:b/>
          <w:bCs/>
          <w:kern w:val="0"/>
        </w:rPr>
      </w:pPr>
      <w:r>
        <w:rPr>
          <w:b/>
          <w:bCs/>
          <w:kern w:val="0"/>
        </w:rPr>
        <w:t>图3.3-</w:t>
      </w:r>
      <w:r>
        <w:rPr>
          <w:rFonts w:hint="eastAsia"/>
          <w:b/>
          <w:bCs/>
          <w:kern w:val="0"/>
        </w:rPr>
        <w:t>6项目氯离子平衡图（t/a）</w:t>
      </w:r>
    </w:p>
    <w:p>
      <w:pPr>
        <w:pStyle w:val="10"/>
        <w:spacing w:line="360" w:lineRule="auto"/>
      </w:pPr>
      <w:bookmarkStart w:id="32" w:name="_Toc21528"/>
      <w:bookmarkStart w:id="33" w:name="_Toc10208"/>
      <w:r>
        <w:t>3.4水源及水平衡</w:t>
      </w:r>
      <w:bookmarkEnd w:id="32"/>
      <w:bookmarkEnd w:id="33"/>
    </w:p>
    <w:p>
      <w:pPr>
        <w:spacing w:line="360" w:lineRule="auto"/>
        <w:rPr>
          <w:rFonts w:hint="eastAsia" w:cs="Times New Roman"/>
          <w:b/>
          <w:bCs/>
          <w:kern w:val="2"/>
          <w:sz w:val="24"/>
          <w:szCs w:val="24"/>
          <w:lang w:val="en-US" w:eastAsia="zh-CN" w:bidi="ar-SA"/>
        </w:rPr>
      </w:pPr>
      <w:r>
        <w:rPr>
          <w:rFonts w:hint="eastAsia" w:ascii="Times New Roman" w:hAnsi="Times New Roman" w:eastAsia="宋体" w:cs="Times New Roman"/>
          <w:b/>
          <w:bCs/>
          <w:kern w:val="2"/>
          <w:sz w:val="24"/>
          <w:szCs w:val="24"/>
          <w:lang w:val="en-US" w:eastAsia="zh-CN" w:bidi="ar-SA"/>
        </w:rPr>
        <w:t>3.4.1</w:t>
      </w:r>
      <w:r>
        <w:rPr>
          <w:rFonts w:hint="eastAsia" w:cs="Times New Roman"/>
          <w:b/>
          <w:bCs/>
          <w:kern w:val="2"/>
          <w:sz w:val="24"/>
          <w:szCs w:val="24"/>
          <w:lang w:val="en-US" w:eastAsia="zh-CN" w:bidi="ar-SA"/>
        </w:rPr>
        <w:t>给水</w:t>
      </w:r>
    </w:p>
    <w:p>
      <w:pPr>
        <w:numPr>
          <w:ilvl w:val="0"/>
          <w:numId w:val="1"/>
        </w:numPr>
        <w:bidi w:val="0"/>
        <w:rPr>
          <w:rFonts w:hint="eastAsia" w:ascii="Times New Roman" w:hAnsi="Times New Roman" w:eastAsia="宋体" w:cs="Times New Roman"/>
          <w:kern w:val="2"/>
          <w:sz w:val="24"/>
          <w:szCs w:val="21"/>
          <w:lang w:val="en-US" w:eastAsia="zh-CN" w:bidi="ar-SA"/>
        </w:rPr>
      </w:pPr>
      <w:r>
        <w:rPr>
          <w:rFonts w:hint="eastAsia" w:ascii="Times New Roman" w:hAnsi="Times New Roman" w:eastAsia="宋体" w:cs="Times New Roman"/>
          <w:kern w:val="2"/>
          <w:sz w:val="24"/>
          <w:szCs w:val="21"/>
          <w:lang w:val="en-US" w:eastAsia="zh-CN" w:bidi="ar-SA"/>
        </w:rPr>
        <w:t>生活用水</w:t>
      </w:r>
    </w:p>
    <w:p>
      <w:pPr>
        <w:bidi w:val="0"/>
        <w:spacing w:line="360" w:lineRule="auto"/>
        <w:ind w:firstLine="480" w:firstLineChars="200"/>
        <w:rPr>
          <w:rFonts w:hint="default" w:ascii="Times New Roman" w:hAnsi="Times New Roman" w:eastAsia="宋体" w:cs="Times New Roman"/>
          <w:kern w:val="2"/>
          <w:sz w:val="24"/>
          <w:szCs w:val="21"/>
          <w:lang w:val="en-US" w:eastAsia="zh-CN" w:bidi="ar-SA"/>
        </w:rPr>
      </w:pPr>
      <w:r>
        <w:rPr>
          <w:rFonts w:hint="default" w:ascii="Times New Roman" w:hAnsi="Times New Roman" w:eastAsia="宋体" w:cs="Times New Roman"/>
          <w:kern w:val="2"/>
          <w:sz w:val="24"/>
          <w:szCs w:val="21"/>
          <w:lang w:val="en-US" w:eastAsia="zh-CN" w:bidi="ar-SA"/>
        </w:rPr>
        <w:t>本项目劳动定员为</w:t>
      </w:r>
      <w:r>
        <w:rPr>
          <w:rFonts w:hint="eastAsia" w:ascii="Times New Roman" w:hAnsi="Times New Roman" w:eastAsia="宋体" w:cs="Times New Roman"/>
          <w:kern w:val="2"/>
          <w:sz w:val="24"/>
          <w:szCs w:val="21"/>
          <w:lang w:val="en-US" w:eastAsia="zh-CN" w:bidi="ar-SA"/>
        </w:rPr>
        <w:t>30</w:t>
      </w:r>
      <w:r>
        <w:rPr>
          <w:rFonts w:hint="default" w:ascii="Times New Roman" w:hAnsi="Times New Roman" w:eastAsia="宋体" w:cs="Times New Roman"/>
          <w:kern w:val="2"/>
          <w:sz w:val="24"/>
          <w:szCs w:val="21"/>
          <w:lang w:val="en-US" w:eastAsia="zh-CN" w:bidi="ar-SA"/>
        </w:rPr>
        <w:t>人</w:t>
      </w:r>
      <w:r>
        <w:rPr>
          <w:rFonts w:hint="eastAsia" w:ascii="Times New Roman" w:hAnsi="Times New Roman" w:eastAsia="宋体"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用水标准按40L/人·d估算</w:t>
      </w:r>
      <w:r>
        <w:rPr>
          <w:rFonts w:hint="eastAsia" w:ascii="Times New Roman" w:hAnsi="Times New Roman" w:eastAsia="宋体"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用水量为330m</w:t>
      </w:r>
      <w:r>
        <w:rPr>
          <w:rFonts w:hint="default" w:ascii="Times New Roman" w:hAnsi="Times New Roman" w:eastAsia="宋体" w:cs="Times New Roman"/>
          <w:kern w:val="2"/>
          <w:sz w:val="24"/>
          <w:szCs w:val="21"/>
          <w:vertAlign w:val="superscript"/>
          <w:lang w:val="en-US" w:eastAsia="zh-CN" w:bidi="ar-SA"/>
        </w:rPr>
        <w:t>3</w:t>
      </w:r>
      <w:r>
        <w:rPr>
          <w:rFonts w:hint="default" w:ascii="Times New Roman" w:hAnsi="Times New Roman" w:eastAsia="宋体" w:cs="Times New Roman"/>
          <w:kern w:val="2"/>
          <w:sz w:val="24"/>
          <w:szCs w:val="21"/>
          <w:lang w:val="en-US" w:eastAsia="zh-CN" w:bidi="ar-SA"/>
        </w:rPr>
        <w:t>/a（1.0m</w:t>
      </w:r>
      <w:r>
        <w:rPr>
          <w:rFonts w:hint="default" w:ascii="Times New Roman" w:hAnsi="Times New Roman" w:eastAsia="宋体" w:cs="Times New Roman"/>
          <w:kern w:val="2"/>
          <w:sz w:val="24"/>
          <w:szCs w:val="21"/>
          <w:vertAlign w:val="superscript"/>
          <w:lang w:val="en-US" w:eastAsia="zh-CN" w:bidi="ar-SA"/>
        </w:rPr>
        <w:t>3</w:t>
      </w:r>
      <w:r>
        <w:rPr>
          <w:rFonts w:hint="default" w:ascii="Times New Roman" w:hAnsi="Times New Roman" w:eastAsia="宋体" w:cs="Times New Roman"/>
          <w:kern w:val="2"/>
          <w:sz w:val="24"/>
          <w:szCs w:val="21"/>
          <w:lang w:val="en-US" w:eastAsia="zh-CN" w:bidi="ar-SA"/>
        </w:rPr>
        <w:t>/d），采用新鲜水。</w:t>
      </w:r>
    </w:p>
    <w:p>
      <w:pPr>
        <w:pStyle w:val="2"/>
        <w:numPr>
          <w:ilvl w:val="0"/>
          <w:numId w:val="1"/>
        </w:numPr>
        <w:ind w:left="0" w:leftChars="0" w:firstLine="0" w:firstLineChars="0"/>
        <w:rPr>
          <w:rFonts w:hint="eastAsia" w:cs="Times New Roman"/>
          <w:kern w:val="2"/>
          <w:sz w:val="24"/>
          <w:szCs w:val="21"/>
          <w:lang w:val="en-US" w:eastAsia="zh-CN" w:bidi="ar-SA"/>
        </w:rPr>
      </w:pPr>
      <w:r>
        <w:rPr>
          <w:rFonts w:hint="eastAsia" w:cs="Times New Roman"/>
          <w:kern w:val="2"/>
          <w:sz w:val="24"/>
          <w:szCs w:val="21"/>
          <w:lang w:val="en-US" w:eastAsia="zh-CN" w:bidi="ar-SA"/>
        </w:rPr>
        <w:t>生产用水</w:t>
      </w:r>
    </w:p>
    <w:p>
      <w:pPr>
        <w:bidi w:val="0"/>
        <w:spacing w:line="360" w:lineRule="auto"/>
        <w:ind w:firstLine="480" w:firstLineChars="200"/>
        <w:rPr>
          <w:rFonts w:hint="default" w:ascii="Times New Roman" w:hAnsi="Times New Roman" w:eastAsia="宋体" w:cs="Times New Roman"/>
          <w:kern w:val="2"/>
          <w:sz w:val="24"/>
          <w:szCs w:val="21"/>
          <w:lang w:val="en-US" w:eastAsia="zh-CN" w:bidi="ar-SA"/>
        </w:rPr>
      </w:pPr>
      <w:r>
        <w:rPr>
          <w:rFonts w:hint="default" w:ascii="Times New Roman" w:hAnsi="Times New Roman" w:eastAsia="宋体" w:cs="Times New Roman"/>
          <w:kern w:val="2"/>
          <w:sz w:val="24"/>
          <w:szCs w:val="21"/>
          <w:lang w:val="en-US" w:eastAsia="zh-CN" w:bidi="ar-SA"/>
        </w:rPr>
        <w:t>根据物料平衡可知项目生产用水量109435.76m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a（13.82m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h），主要是吸收HC1生产副产盐酸用水以及吸收Cl</w:t>
      </w:r>
      <w:r>
        <w:rPr>
          <w:rFonts w:hint="default" w:ascii="Times New Roman" w:hAnsi="Times New Roman" w:eastAsia="宋体" w:cs="Times New Roman"/>
          <w:kern w:val="2"/>
          <w:sz w:val="24"/>
          <w:szCs w:val="21"/>
          <w:vertAlign w:val="subscript"/>
          <w:lang w:val="en-US" w:eastAsia="zh-CN" w:bidi="ar-SA"/>
        </w:rPr>
        <w:t>2</w:t>
      </w:r>
      <w:r>
        <w:rPr>
          <w:rFonts w:hint="default" w:ascii="Times New Roman" w:hAnsi="Times New Roman" w:eastAsia="宋体" w:cs="Times New Roman"/>
          <w:kern w:val="2"/>
          <w:sz w:val="24"/>
          <w:szCs w:val="21"/>
          <w:lang w:val="en-US" w:eastAsia="zh-CN" w:bidi="ar-SA"/>
        </w:rPr>
        <w:t>生产副产次氯酸钠用水。吸收HCI生产副产盐酸用水量约为109166.26m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a（13.78m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h），其中部分采用蒸汽冷凝水18810m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a和经初期雨水池絮凝沉淀处理后的初期雨水782.8m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a，吸收Cl</w:t>
      </w:r>
      <w:r>
        <w:rPr>
          <w:rFonts w:hint="default" w:ascii="Times New Roman" w:hAnsi="Times New Roman" w:eastAsia="宋体" w:cs="Times New Roman"/>
          <w:kern w:val="2"/>
          <w:sz w:val="24"/>
          <w:szCs w:val="21"/>
          <w:vertAlign w:val="subscript"/>
          <w:lang w:val="en-US" w:eastAsia="zh-CN" w:bidi="ar-SA"/>
        </w:rPr>
        <w:t>2</w:t>
      </w:r>
      <w:r>
        <w:rPr>
          <w:rFonts w:hint="default" w:ascii="Times New Roman" w:hAnsi="Times New Roman" w:eastAsia="宋体" w:cs="Times New Roman"/>
          <w:kern w:val="2"/>
          <w:sz w:val="24"/>
          <w:szCs w:val="21"/>
          <w:lang w:val="en-US" w:eastAsia="zh-CN" w:bidi="ar-SA"/>
        </w:rPr>
        <w:t>生产副产次氯酸钠用水量约为269.5m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a（0.04m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h），全部采用新鲜自来水。</w:t>
      </w:r>
    </w:p>
    <w:p>
      <w:pPr>
        <w:bidi w:val="0"/>
        <w:spacing w:line="360" w:lineRule="auto"/>
        <w:ind w:firstLine="480" w:firstLineChars="200"/>
        <w:rPr>
          <w:rFonts w:hint="eastAsia" w:cs="Times New Roman"/>
          <w:kern w:val="2"/>
          <w:sz w:val="24"/>
          <w:szCs w:val="21"/>
          <w:lang w:val="en-US" w:eastAsia="zh-CN" w:bidi="ar-SA"/>
        </w:rPr>
      </w:pPr>
      <w:r>
        <w:rPr>
          <w:rFonts w:hint="default" w:ascii="Times New Roman" w:hAnsi="Times New Roman" w:eastAsia="宋体" w:cs="Times New Roman"/>
          <w:kern w:val="2"/>
          <w:sz w:val="24"/>
          <w:szCs w:val="21"/>
          <w:lang w:val="en-US" w:eastAsia="zh-CN" w:bidi="ar-SA"/>
        </w:rPr>
        <w:t>根据生产用水分析可知，吸收HCI生产副产盐酸用水量约为109166.26m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a（13.78m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h），其中782.8m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a来自经初期雨水池絮凝沉淀处理的初期雨水，初期雨水占总吸收HCI生产副产盐酸用水量的0.72％，同时根据副产盐酸检验报告单可知副产盐酸满足HG／T3783-2005中“I”标准要求，作为副产品是合规的。因此，本项目经初期雨水池絮凝沉淀处理的初期雨水用于吸收HCI生产副产盐酸是合理、可行的</w:t>
      </w:r>
      <w:r>
        <w:rPr>
          <w:rFonts w:hint="eastAsia" w:cs="Times New Roman"/>
          <w:kern w:val="2"/>
          <w:sz w:val="24"/>
          <w:szCs w:val="21"/>
          <w:lang w:val="en-US" w:eastAsia="zh-CN" w:bidi="ar-SA"/>
        </w:rPr>
        <w:t>。</w:t>
      </w:r>
    </w:p>
    <w:p>
      <w:pPr>
        <w:rPr>
          <w:rFonts w:hint="eastAsia"/>
          <w:lang w:val="en-US" w:eastAsia="zh-CN"/>
        </w:rPr>
      </w:pPr>
      <w:r>
        <w:rPr>
          <w:rFonts w:hint="eastAsia" w:cs="Times New Roman"/>
          <w:kern w:val="2"/>
          <w:sz w:val="24"/>
          <w:szCs w:val="21"/>
          <w:lang w:val="en-US" w:eastAsia="zh-CN" w:bidi="ar-SA"/>
        </w:rPr>
        <w:t>（3）</w:t>
      </w:r>
      <w:r>
        <w:rPr>
          <w:rFonts w:hint="default" w:ascii="Times New Roman" w:hAnsi="Times New Roman" w:eastAsia="宋体" w:cs="Times New Roman"/>
          <w:kern w:val="2"/>
          <w:sz w:val="24"/>
          <w:szCs w:val="21"/>
          <w:lang w:val="en-US" w:eastAsia="zh-CN" w:bidi="ar-SA"/>
        </w:rPr>
        <w:t>循环冷却水</w:t>
      </w:r>
    </w:p>
    <w:p>
      <w:pPr>
        <w:bidi w:val="0"/>
        <w:spacing w:line="360" w:lineRule="auto"/>
        <w:ind w:firstLine="480" w:firstLineChars="200"/>
        <w:rPr>
          <w:rFonts w:hint="default" w:ascii="Times New Roman" w:hAnsi="Times New Roman" w:eastAsia="宋体" w:cs="Times New Roman"/>
          <w:kern w:val="2"/>
          <w:sz w:val="24"/>
          <w:szCs w:val="21"/>
          <w:lang w:val="en-US" w:eastAsia="zh-CN" w:bidi="ar-SA"/>
        </w:rPr>
      </w:pPr>
      <w:r>
        <w:rPr>
          <w:rFonts w:hint="default" w:ascii="Times New Roman" w:hAnsi="Times New Roman" w:eastAsia="宋体" w:cs="Times New Roman"/>
          <w:kern w:val="2"/>
          <w:sz w:val="24"/>
          <w:szCs w:val="21"/>
          <w:lang w:val="en-US" w:eastAsia="zh-CN" w:bidi="ar-SA"/>
        </w:rPr>
        <w:t>本项目需用循环水量1000m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h，根据建设单位提供资料循环冷却水补水量为9.5m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h。本项目循环水由山东泰普新能源有限公司1台能力为5000m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h双曲线冷却塔提供，供佰润新材现有装置和本项目使用，目前佰润新材现有装置使用量为1000m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h，余量4000m</w:t>
      </w:r>
      <w:r>
        <w:rPr>
          <w:rFonts w:hint="default" w:ascii="Times New Roman" w:hAnsi="Times New Roman" w:eastAsia="宋体" w:cs="Times New Roman"/>
          <w:kern w:val="2"/>
          <w:sz w:val="24"/>
          <w:szCs w:val="21"/>
          <w:vertAlign w:val="superscript"/>
          <w:lang w:val="en-US" w:eastAsia="zh-CN" w:bidi="ar-SA"/>
        </w:rPr>
        <w:t>3</w:t>
      </w:r>
      <w:r>
        <w:rPr>
          <w:rFonts w:hint="eastAsia" w:cs="Times New Roman"/>
          <w:kern w:val="2"/>
          <w:sz w:val="24"/>
          <w:szCs w:val="21"/>
          <w:lang w:val="en-US" w:eastAsia="zh-CN" w:bidi="ar-SA"/>
        </w:rPr>
        <w:t>/</w:t>
      </w:r>
      <w:r>
        <w:rPr>
          <w:rFonts w:hint="default" w:ascii="Times New Roman" w:hAnsi="Times New Roman" w:eastAsia="宋体" w:cs="Times New Roman"/>
          <w:kern w:val="2"/>
          <w:sz w:val="24"/>
          <w:szCs w:val="21"/>
          <w:lang w:val="en-US" w:eastAsia="zh-CN" w:bidi="ar-SA"/>
        </w:rPr>
        <w:t>h，余量能够满足本项目需求，依托可行</w:t>
      </w:r>
      <w:r>
        <w:rPr>
          <w:rFonts w:hint="eastAsia" w:cs="Times New Roman"/>
          <w:kern w:val="2"/>
          <w:sz w:val="24"/>
          <w:szCs w:val="21"/>
          <w:lang w:val="en-US" w:eastAsia="zh-CN" w:bidi="ar-SA"/>
        </w:rPr>
        <w:t>。</w:t>
      </w:r>
    </w:p>
    <w:p>
      <w:pPr>
        <w:pStyle w:val="11"/>
      </w:pPr>
      <w:bookmarkStart w:id="34" w:name="_Toc14198"/>
      <w:r>
        <w:t>3.4.2排水</w:t>
      </w:r>
      <w:bookmarkEnd w:id="30"/>
      <w:bookmarkEnd w:id="31"/>
      <w:bookmarkEnd w:id="34"/>
    </w:p>
    <w:p>
      <w:pPr>
        <w:pStyle w:val="19"/>
        <w:spacing w:line="360" w:lineRule="auto"/>
        <w:ind w:firstLine="480"/>
        <w:contextualSpacing/>
        <w:rPr>
          <w:sz w:val="24"/>
        </w:rPr>
      </w:pPr>
      <w:r>
        <w:rPr>
          <w:rFonts w:hint="eastAsia"/>
          <w:sz w:val="24"/>
        </w:rPr>
        <w:t>本项目厂区排水系统采用雨污分流制，雨水汇集后排入园区雨水管道。</w:t>
      </w:r>
    </w:p>
    <w:p>
      <w:pPr>
        <w:pStyle w:val="19"/>
        <w:spacing w:line="360" w:lineRule="auto"/>
        <w:ind w:firstLine="480"/>
        <w:contextualSpacing/>
      </w:pPr>
      <w:r>
        <w:rPr>
          <w:rFonts w:hint="eastAsia"/>
          <w:sz w:val="24"/>
        </w:rPr>
        <w:t>本项目生产用水主要为吸收HCl生产副产盐酸用水以及吸收Cl</w:t>
      </w:r>
      <w:r>
        <w:rPr>
          <w:rFonts w:hint="eastAsia"/>
          <w:sz w:val="24"/>
          <w:vertAlign w:val="subscript"/>
        </w:rPr>
        <w:t>2</w:t>
      </w:r>
      <w:r>
        <w:rPr>
          <w:rFonts w:hint="eastAsia"/>
          <w:sz w:val="24"/>
        </w:rPr>
        <w:t>生产副产次氯酸钠用水，全部进入副产品，无生产废水产生；初期雨水排入初期雨水收集池，絮凝沉淀处理后作为氯化氢气体吸收用水，不外排；生活污水经化粪池处理后由环卫清掏，不外排。</w:t>
      </w:r>
      <w:bookmarkStart w:id="35" w:name="_Hlk142295408"/>
      <w:r>
        <w:rPr>
          <w:rFonts w:hint="eastAsia"/>
          <w:sz w:val="24"/>
        </w:rPr>
        <w:t>其中</w:t>
      </w:r>
      <w:bookmarkEnd w:id="35"/>
      <w:r>
        <w:rPr>
          <w:rFonts w:hint="eastAsia"/>
          <w:sz w:val="24"/>
        </w:rPr>
        <w:t>生活污水排放量按生活用水量的80%计算，则生活污水排放量约为264m</w:t>
      </w:r>
      <w:r>
        <w:rPr>
          <w:rFonts w:hint="eastAsia"/>
          <w:sz w:val="24"/>
          <w:vertAlign w:val="superscript"/>
        </w:rPr>
        <w:t>3</w:t>
      </w:r>
      <w:r>
        <w:rPr>
          <w:rFonts w:hint="eastAsia"/>
          <w:sz w:val="24"/>
        </w:rPr>
        <w:t>/a（0.8m</w:t>
      </w:r>
      <w:r>
        <w:rPr>
          <w:rFonts w:hint="eastAsia"/>
          <w:sz w:val="24"/>
          <w:vertAlign w:val="superscript"/>
        </w:rPr>
        <w:t>3</w:t>
      </w:r>
      <w:r>
        <w:rPr>
          <w:rFonts w:hint="eastAsia"/>
          <w:sz w:val="24"/>
        </w:rPr>
        <w:t>/d），初期雨水收集量约782.8m</w:t>
      </w:r>
      <w:r>
        <w:rPr>
          <w:rFonts w:hint="eastAsia"/>
          <w:sz w:val="24"/>
          <w:vertAlign w:val="superscript"/>
        </w:rPr>
        <w:t>3</w:t>
      </w:r>
      <w:r>
        <w:rPr>
          <w:rFonts w:hint="eastAsia"/>
          <w:sz w:val="24"/>
        </w:rPr>
        <w:t>/a，蒸汽冷凝水产生量按95%计，为18810m</w:t>
      </w:r>
      <w:r>
        <w:rPr>
          <w:rFonts w:hint="eastAsia"/>
          <w:sz w:val="24"/>
          <w:vertAlign w:val="superscript"/>
        </w:rPr>
        <w:t>3</w:t>
      </w:r>
      <w:r>
        <w:rPr>
          <w:rFonts w:hint="eastAsia"/>
          <w:sz w:val="24"/>
        </w:rPr>
        <w:t>/a，循环冷却水由山东泰普新能源有限公司提供，厂区内无循环冷却排污水产生。</w:t>
      </w:r>
    </w:p>
    <w:p>
      <w:pPr>
        <w:pStyle w:val="23"/>
        <w:spacing w:after="0"/>
        <w:contextualSpacing/>
        <w:jc w:val="center"/>
        <w:rPr>
          <w:color w:val="000000"/>
        </w:rPr>
      </w:pPr>
      <w:r>
        <w:drawing>
          <wp:inline distT="0" distB="0" distL="114300" distR="114300">
            <wp:extent cx="4720590" cy="3756025"/>
            <wp:effectExtent l="0" t="0" r="3810" b="15875"/>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34"/>
                    <a:stretch>
                      <a:fillRect/>
                    </a:stretch>
                  </pic:blipFill>
                  <pic:spPr>
                    <a:xfrm>
                      <a:off x="0" y="0"/>
                      <a:ext cx="4720590" cy="3756025"/>
                    </a:xfrm>
                    <a:prstGeom prst="rect">
                      <a:avLst/>
                    </a:prstGeom>
                    <a:noFill/>
                    <a:ln>
                      <a:noFill/>
                    </a:ln>
                  </pic:spPr>
                </pic:pic>
              </a:graphicData>
            </a:graphic>
          </wp:inline>
        </w:drawing>
      </w:r>
    </w:p>
    <w:p>
      <w:pPr>
        <w:pStyle w:val="123"/>
        <w:adjustRightInd/>
        <w:contextualSpacing/>
        <w:rPr>
          <w:rFonts w:cs="Times New Roman"/>
          <w:sz w:val="21"/>
          <w:szCs w:val="21"/>
        </w:rPr>
      </w:pPr>
      <w:r>
        <w:drawing>
          <wp:anchor distT="0" distB="0" distL="114300" distR="114300" simplePos="0" relativeHeight="251668480" behindDoc="0" locked="0" layoutInCell="1" allowOverlap="1">
            <wp:simplePos x="0" y="0"/>
            <wp:positionH relativeFrom="column">
              <wp:posOffset>262255</wp:posOffset>
            </wp:positionH>
            <wp:positionV relativeFrom="paragraph">
              <wp:posOffset>341630</wp:posOffset>
            </wp:positionV>
            <wp:extent cx="4644390" cy="3974465"/>
            <wp:effectExtent l="0" t="0" r="3810" b="6985"/>
            <wp:wrapSquare wrapText="bothSides"/>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35"/>
                    <a:stretch>
                      <a:fillRect/>
                    </a:stretch>
                  </pic:blipFill>
                  <pic:spPr>
                    <a:xfrm>
                      <a:off x="0" y="0"/>
                      <a:ext cx="4644390" cy="3974465"/>
                    </a:xfrm>
                    <a:prstGeom prst="rect">
                      <a:avLst/>
                    </a:prstGeom>
                    <a:noFill/>
                    <a:ln>
                      <a:noFill/>
                    </a:ln>
                  </pic:spPr>
                </pic:pic>
              </a:graphicData>
            </a:graphic>
          </wp:anchor>
        </w:drawing>
      </w:r>
      <w:r>
        <w:rPr>
          <w:rFonts w:cs="Times New Roman"/>
          <w:sz w:val="21"/>
          <w:szCs w:val="21"/>
        </w:rPr>
        <w:t xml:space="preserve">图3.4-1 </w:t>
      </w:r>
      <w:r>
        <w:rPr>
          <w:rFonts w:hint="eastAsia" w:cs="Times New Roman"/>
          <w:sz w:val="21"/>
          <w:szCs w:val="21"/>
        </w:rPr>
        <w:t>（1）</w:t>
      </w:r>
      <w:r>
        <w:rPr>
          <w:rFonts w:cs="Times New Roman"/>
          <w:sz w:val="21"/>
          <w:szCs w:val="21"/>
        </w:rPr>
        <w:t>本项目水平衡图（m</w:t>
      </w:r>
      <w:r>
        <w:rPr>
          <w:rFonts w:cs="Times New Roman"/>
          <w:sz w:val="21"/>
          <w:szCs w:val="21"/>
          <w:vertAlign w:val="superscript"/>
        </w:rPr>
        <w:t>3</w:t>
      </w:r>
      <w:r>
        <w:rPr>
          <w:rFonts w:cs="Times New Roman"/>
          <w:sz w:val="21"/>
          <w:szCs w:val="21"/>
        </w:rPr>
        <w:t>/</w:t>
      </w:r>
      <w:r>
        <w:rPr>
          <w:rFonts w:hint="eastAsia" w:cs="Times New Roman"/>
          <w:sz w:val="21"/>
          <w:szCs w:val="21"/>
        </w:rPr>
        <w:t>d</w:t>
      </w:r>
      <w:r>
        <w:rPr>
          <w:rFonts w:cs="Times New Roman"/>
          <w:sz w:val="21"/>
          <w:szCs w:val="21"/>
        </w:rPr>
        <w:t>）</w:t>
      </w:r>
    </w:p>
    <w:p>
      <w:pPr>
        <w:pStyle w:val="123"/>
        <w:adjustRightInd/>
        <w:contextualSpacing/>
        <w:jc w:val="both"/>
        <w:rPr>
          <w:rFonts w:cs="Times New Roman"/>
          <w:sz w:val="21"/>
          <w:szCs w:val="21"/>
        </w:rPr>
      </w:pPr>
    </w:p>
    <w:p>
      <w:pPr>
        <w:pStyle w:val="123"/>
        <w:adjustRightInd/>
        <w:contextualSpacing/>
        <w:jc w:val="both"/>
        <w:rPr>
          <w:rFonts w:cs="Times New Roman"/>
          <w:sz w:val="21"/>
          <w:szCs w:val="21"/>
        </w:rPr>
      </w:pPr>
    </w:p>
    <w:p>
      <w:pPr>
        <w:pStyle w:val="123"/>
        <w:adjustRightInd/>
        <w:contextualSpacing/>
        <w:jc w:val="both"/>
        <w:rPr>
          <w:rFonts w:cs="Times New Roman"/>
          <w:sz w:val="21"/>
          <w:szCs w:val="21"/>
        </w:rPr>
      </w:pPr>
    </w:p>
    <w:p>
      <w:pPr>
        <w:pStyle w:val="123"/>
        <w:adjustRightInd/>
        <w:contextualSpacing/>
        <w:jc w:val="both"/>
        <w:rPr>
          <w:rFonts w:cs="Times New Roman"/>
          <w:sz w:val="21"/>
          <w:szCs w:val="21"/>
        </w:rPr>
      </w:pPr>
    </w:p>
    <w:p>
      <w:pPr>
        <w:pStyle w:val="123"/>
        <w:adjustRightInd/>
        <w:contextualSpacing/>
        <w:jc w:val="both"/>
        <w:rPr>
          <w:rFonts w:cs="Times New Roman"/>
          <w:sz w:val="21"/>
          <w:szCs w:val="21"/>
        </w:rPr>
      </w:pPr>
    </w:p>
    <w:p>
      <w:pPr>
        <w:pStyle w:val="123"/>
        <w:adjustRightInd/>
        <w:contextualSpacing/>
        <w:jc w:val="both"/>
        <w:rPr>
          <w:rFonts w:cs="Times New Roman"/>
          <w:sz w:val="21"/>
          <w:szCs w:val="21"/>
        </w:rPr>
      </w:pPr>
    </w:p>
    <w:p>
      <w:pPr>
        <w:pStyle w:val="123"/>
        <w:adjustRightInd/>
        <w:contextualSpacing/>
        <w:jc w:val="both"/>
        <w:rPr>
          <w:rFonts w:cs="Times New Roman"/>
          <w:sz w:val="21"/>
          <w:szCs w:val="21"/>
        </w:rPr>
      </w:pPr>
    </w:p>
    <w:p>
      <w:pPr>
        <w:pStyle w:val="123"/>
        <w:adjustRightInd/>
        <w:contextualSpacing/>
        <w:jc w:val="both"/>
        <w:rPr>
          <w:rFonts w:cs="Times New Roman"/>
          <w:sz w:val="21"/>
          <w:szCs w:val="21"/>
        </w:rPr>
      </w:pPr>
    </w:p>
    <w:p>
      <w:pPr>
        <w:pStyle w:val="123"/>
        <w:adjustRightInd/>
        <w:contextualSpacing/>
        <w:jc w:val="both"/>
        <w:rPr>
          <w:rFonts w:cs="Times New Roman"/>
          <w:sz w:val="21"/>
          <w:szCs w:val="21"/>
        </w:rPr>
      </w:pPr>
    </w:p>
    <w:p>
      <w:pPr>
        <w:pStyle w:val="123"/>
        <w:adjustRightInd/>
        <w:contextualSpacing/>
        <w:jc w:val="both"/>
        <w:rPr>
          <w:rFonts w:cs="Times New Roman"/>
          <w:sz w:val="21"/>
          <w:szCs w:val="21"/>
        </w:rPr>
      </w:pPr>
    </w:p>
    <w:p>
      <w:pPr>
        <w:pStyle w:val="123"/>
        <w:adjustRightInd/>
        <w:contextualSpacing/>
        <w:jc w:val="both"/>
        <w:rPr>
          <w:rFonts w:cs="Times New Roman"/>
          <w:sz w:val="21"/>
          <w:szCs w:val="21"/>
        </w:rPr>
      </w:pPr>
    </w:p>
    <w:p>
      <w:pPr>
        <w:pStyle w:val="123"/>
        <w:adjustRightInd/>
        <w:contextualSpacing/>
        <w:jc w:val="both"/>
        <w:rPr>
          <w:rFonts w:cs="Times New Roman"/>
          <w:sz w:val="21"/>
          <w:szCs w:val="21"/>
        </w:rPr>
      </w:pPr>
    </w:p>
    <w:p>
      <w:pPr>
        <w:pStyle w:val="123"/>
        <w:adjustRightInd/>
        <w:contextualSpacing/>
        <w:jc w:val="both"/>
        <w:rPr>
          <w:rFonts w:cs="Times New Roman"/>
          <w:sz w:val="21"/>
          <w:szCs w:val="21"/>
        </w:rPr>
      </w:pPr>
    </w:p>
    <w:p>
      <w:pPr>
        <w:pStyle w:val="123"/>
        <w:adjustRightInd/>
        <w:contextualSpacing/>
        <w:jc w:val="both"/>
        <w:rPr>
          <w:rFonts w:cs="Times New Roman"/>
          <w:sz w:val="21"/>
          <w:szCs w:val="21"/>
        </w:rPr>
      </w:pPr>
    </w:p>
    <w:p>
      <w:pPr>
        <w:pStyle w:val="123"/>
        <w:adjustRightInd/>
        <w:contextualSpacing/>
        <w:rPr>
          <w:rFonts w:cs="Times New Roman"/>
          <w:sz w:val="21"/>
          <w:szCs w:val="21"/>
        </w:rPr>
      </w:pPr>
      <w:r>
        <w:rPr>
          <w:rFonts w:cs="Times New Roman"/>
          <w:sz w:val="21"/>
          <w:szCs w:val="21"/>
        </w:rPr>
        <w:t xml:space="preserve">图3.4-1 </w:t>
      </w:r>
      <w:r>
        <w:rPr>
          <w:rFonts w:hint="eastAsia" w:cs="Times New Roman"/>
          <w:sz w:val="21"/>
          <w:szCs w:val="21"/>
        </w:rPr>
        <w:t>（2）</w:t>
      </w:r>
      <w:r>
        <w:rPr>
          <w:rFonts w:cs="Times New Roman"/>
          <w:sz w:val="21"/>
          <w:szCs w:val="21"/>
        </w:rPr>
        <w:t>本项目水平衡图（m</w:t>
      </w:r>
      <w:r>
        <w:rPr>
          <w:rFonts w:cs="Times New Roman"/>
          <w:sz w:val="21"/>
          <w:szCs w:val="21"/>
          <w:vertAlign w:val="superscript"/>
        </w:rPr>
        <w:t>3</w:t>
      </w:r>
      <w:r>
        <w:rPr>
          <w:rFonts w:cs="Times New Roman"/>
          <w:sz w:val="21"/>
          <w:szCs w:val="21"/>
        </w:rPr>
        <w:t>/</w:t>
      </w:r>
      <w:r>
        <w:rPr>
          <w:rFonts w:hint="eastAsia" w:cs="Times New Roman"/>
          <w:sz w:val="21"/>
          <w:szCs w:val="21"/>
        </w:rPr>
        <w:t>a</w:t>
      </w:r>
      <w:r>
        <w:rPr>
          <w:rFonts w:cs="Times New Roman"/>
          <w:sz w:val="21"/>
          <w:szCs w:val="21"/>
        </w:rPr>
        <w:t>）</w:t>
      </w:r>
    </w:p>
    <w:p>
      <w:pPr>
        <w:pStyle w:val="123"/>
        <w:adjustRightInd/>
        <w:contextualSpacing/>
        <w:jc w:val="both"/>
        <w:rPr>
          <w:rFonts w:cs="Times New Roman"/>
          <w:sz w:val="21"/>
          <w:szCs w:val="21"/>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10"/>
        <w:spacing w:line="360" w:lineRule="auto"/>
      </w:pPr>
      <w:bookmarkStart w:id="36" w:name="_Toc14468"/>
      <w:r>
        <w:t>3.5工艺流程及产污环节分析</w:t>
      </w:r>
      <w:bookmarkEnd w:id="36"/>
    </w:p>
    <w:p>
      <w:pPr>
        <w:spacing w:line="360" w:lineRule="auto"/>
        <w:ind w:firstLine="482" w:firstLineChars="200"/>
        <w:rPr>
          <w:kern w:val="0"/>
          <w:sz w:val="24"/>
          <w:szCs w:val="24"/>
        </w:rPr>
      </w:pPr>
      <w:r>
        <w:rPr>
          <w:b/>
          <w:sz w:val="24"/>
        </w:rPr>
        <w:t>一、</w:t>
      </w:r>
      <w:r>
        <w:rPr>
          <w:rFonts w:hint="eastAsia"/>
          <w:b/>
          <w:sz w:val="24"/>
        </w:rPr>
        <w:t>工艺流程及产污环节简述</w:t>
      </w:r>
    </w:p>
    <w:p>
      <w:pPr>
        <w:spacing w:line="360" w:lineRule="auto"/>
        <w:ind w:firstLine="480" w:firstLineChars="200"/>
        <w:contextualSpacing/>
        <w:rPr>
          <w:kern w:val="0"/>
          <w:sz w:val="24"/>
          <w:szCs w:val="24"/>
        </w:rPr>
      </w:pPr>
      <w:r>
        <w:rPr>
          <w:rFonts w:hint="eastAsia"/>
          <w:kern w:val="0"/>
          <w:sz w:val="24"/>
          <w:szCs w:val="24"/>
        </w:rPr>
        <w:t>1、两级副釜预热：</w:t>
      </w:r>
    </w:p>
    <w:p>
      <w:pPr>
        <w:spacing w:line="360" w:lineRule="auto"/>
        <w:ind w:firstLine="480" w:firstLineChars="200"/>
        <w:contextualSpacing/>
        <w:rPr>
          <w:kern w:val="0"/>
          <w:sz w:val="24"/>
          <w:szCs w:val="24"/>
        </w:rPr>
      </w:pPr>
      <w:r>
        <w:rPr>
          <w:rFonts w:hint="eastAsia"/>
          <w:kern w:val="0"/>
          <w:sz w:val="24"/>
          <w:szCs w:val="24"/>
        </w:rPr>
        <w:t>热水保温的液体石蜡经储罐由泵打入中间罐内，再打入釜内温度保持在 60℃左右的一级副釜内，然后再打入二级副釜。通过向副釜夹套内通入热水使釜内温度升温至60℃，热水是通过蒸汽加热获得的。</w:t>
      </w:r>
    </w:p>
    <w:p>
      <w:pPr>
        <w:spacing w:line="360" w:lineRule="auto"/>
        <w:ind w:firstLine="480" w:firstLineChars="200"/>
        <w:contextualSpacing/>
        <w:rPr>
          <w:kern w:val="0"/>
          <w:sz w:val="24"/>
          <w:szCs w:val="24"/>
        </w:rPr>
      </w:pPr>
      <w:r>
        <w:rPr>
          <w:rFonts w:hint="eastAsia"/>
          <w:kern w:val="0"/>
          <w:sz w:val="24"/>
          <w:szCs w:val="24"/>
        </w:rPr>
        <w:t>冬季液蜡可能上冻，使用氯化反应塔产生的高温循环水和蒸汽加热的热水对液蜡储罐及液蜡输送管道进行保温。液蜡输送管道为双层套管，液蜡经内层套管进行输送，液蜡存储罐内部设置盘管；高温水经液蜡输送管道外层套管进入液蜡储罐盘管对液蜡进行保温，排出的液蜡保温水进循环水池回用于氯化反应塔冷却水。</w:t>
      </w:r>
    </w:p>
    <w:p>
      <w:pPr>
        <w:spacing w:line="360" w:lineRule="auto"/>
        <w:ind w:firstLine="480" w:firstLineChars="200"/>
        <w:contextualSpacing/>
        <w:rPr>
          <w:kern w:val="0"/>
          <w:sz w:val="24"/>
          <w:szCs w:val="24"/>
        </w:rPr>
      </w:pPr>
      <w:r>
        <w:rPr>
          <w:rFonts w:hint="eastAsia"/>
          <w:kern w:val="0"/>
          <w:sz w:val="24"/>
          <w:szCs w:val="24"/>
        </w:rPr>
        <w:t>各级氯化反应塔反应尾气经气液分离后汇总进入一根尾气管，尾气通过管道依次进入二级副釜、一级副釜，通过两级副釜将尾气中的蜡油收集起来，最后尾气由一级副釜通过管道进入尾气收集处理系统。</w:t>
      </w:r>
    </w:p>
    <w:p>
      <w:pPr>
        <w:spacing w:line="360" w:lineRule="auto"/>
        <w:ind w:firstLine="480" w:firstLineChars="200"/>
        <w:contextualSpacing/>
        <w:rPr>
          <w:kern w:val="0"/>
          <w:sz w:val="24"/>
          <w:szCs w:val="24"/>
        </w:rPr>
      </w:pPr>
      <w:bookmarkStart w:id="37" w:name="_MON_1360419220"/>
      <w:bookmarkEnd w:id="37"/>
      <w:bookmarkStart w:id="38" w:name="_MON_1423776143"/>
      <w:bookmarkEnd w:id="38"/>
      <w:bookmarkStart w:id="39" w:name="_MON_1423776769"/>
      <w:bookmarkEnd w:id="39"/>
      <w:r>
        <w:rPr>
          <w:rFonts w:hint="eastAsia"/>
          <w:kern w:val="0"/>
          <w:sz w:val="24"/>
          <w:szCs w:val="24"/>
        </w:rPr>
        <w:t>2、七级氯化反应：</w:t>
      </w:r>
    </w:p>
    <w:p>
      <w:pPr>
        <w:spacing w:line="360" w:lineRule="auto"/>
        <w:ind w:firstLine="480" w:firstLineChars="200"/>
        <w:contextualSpacing/>
        <w:rPr>
          <w:kern w:val="0"/>
          <w:sz w:val="24"/>
          <w:szCs w:val="24"/>
        </w:rPr>
      </w:pPr>
      <w:r>
        <w:rPr>
          <w:rFonts w:hint="eastAsia"/>
          <w:kern w:val="0"/>
          <w:sz w:val="24"/>
          <w:szCs w:val="24"/>
        </w:rPr>
        <w:t>主反应塔为氯化反应的主要容器，每条线设7个主反应塔。在主反应塔中物料从第一反应塔到第七反应塔依靠液位差依次进行，七个反应塔串联，每个反应塔设置Cl</w:t>
      </w:r>
      <w:r>
        <w:rPr>
          <w:rFonts w:hint="eastAsia"/>
          <w:kern w:val="0"/>
          <w:sz w:val="24"/>
          <w:szCs w:val="24"/>
          <w:vertAlign w:val="subscript"/>
        </w:rPr>
        <w:t>2</w:t>
      </w:r>
      <w:r>
        <w:rPr>
          <w:rFonts w:hint="eastAsia"/>
          <w:kern w:val="0"/>
          <w:sz w:val="24"/>
          <w:szCs w:val="24"/>
        </w:rPr>
        <w:t>通入阀门，Cl</w:t>
      </w:r>
      <w:r>
        <w:rPr>
          <w:rFonts w:hint="eastAsia"/>
          <w:kern w:val="0"/>
          <w:sz w:val="24"/>
          <w:szCs w:val="24"/>
          <w:vertAlign w:val="subscript"/>
        </w:rPr>
        <w:t>2</w:t>
      </w:r>
      <w:r>
        <w:rPr>
          <w:rFonts w:hint="eastAsia"/>
          <w:kern w:val="0"/>
          <w:sz w:val="24"/>
          <w:szCs w:val="24"/>
        </w:rPr>
        <w:t>同时平行鼓入，控制每个反应釜完成一阶氯化反应，理论从第一反应塔到第七反应塔出口物料含氯量依次为7%、15%、26%、35%、42%、48%、52%，实际生产中主要控制最后反应塔出料的含氯量。</w:t>
      </w:r>
    </w:p>
    <w:p>
      <w:pPr>
        <w:pStyle w:val="19"/>
        <w:spacing w:line="360" w:lineRule="auto"/>
        <w:ind w:firstLine="480"/>
        <w:rPr>
          <w:kern w:val="0"/>
          <w:sz w:val="24"/>
          <w:szCs w:val="24"/>
        </w:rPr>
      </w:pPr>
      <w:r>
        <w:rPr>
          <w:rFonts w:hint="eastAsia"/>
          <w:kern w:val="0"/>
          <w:sz w:val="24"/>
          <w:szCs w:val="24"/>
        </w:rPr>
        <w:t>主反应塔反应温度为100-110℃，反应压力为常压。Cl</w:t>
      </w:r>
      <w:r>
        <w:rPr>
          <w:rFonts w:hint="eastAsia"/>
          <w:kern w:val="0"/>
          <w:sz w:val="24"/>
          <w:szCs w:val="24"/>
          <w:vertAlign w:val="subscript"/>
        </w:rPr>
        <w:t>2</w:t>
      </w:r>
      <w:r>
        <w:rPr>
          <w:rFonts w:hint="eastAsia"/>
          <w:kern w:val="0"/>
          <w:sz w:val="24"/>
          <w:szCs w:val="24"/>
        </w:rPr>
        <w:t>与液蜡反应为放热反应，利用反应热即可达到反应所需温度。为了控制反应塔温度，向反应釜夹层及冷却器中加入冷却水进行降温，反应釜冷却水出水温度为 50-60℃。</w:t>
      </w:r>
    </w:p>
    <w:p>
      <w:pPr>
        <w:pStyle w:val="19"/>
        <w:spacing w:line="360" w:lineRule="auto"/>
        <w:ind w:firstLine="480"/>
        <w:rPr>
          <w:kern w:val="0"/>
          <w:sz w:val="24"/>
          <w:szCs w:val="24"/>
        </w:rPr>
      </w:pPr>
      <w:r>
        <w:rPr>
          <w:rFonts w:hint="eastAsia"/>
          <w:kern w:val="0"/>
          <w:sz w:val="24"/>
          <w:szCs w:val="24"/>
        </w:rPr>
        <w:t>Cl</w:t>
      </w:r>
      <w:r>
        <w:rPr>
          <w:rFonts w:hint="eastAsia"/>
          <w:kern w:val="0"/>
          <w:sz w:val="24"/>
          <w:szCs w:val="24"/>
          <w:vertAlign w:val="subscript"/>
        </w:rPr>
        <w:t>2</w:t>
      </w:r>
      <w:r>
        <w:rPr>
          <w:rFonts w:hint="eastAsia"/>
          <w:kern w:val="0"/>
          <w:sz w:val="24"/>
          <w:szCs w:val="24"/>
        </w:rPr>
        <w:t>从氯化塔底部通入，通氯量在七个氯化塔中依次递减，控制反应温度在80~95℃。单个氯化塔配置自循环石墨冷却器，使反应中物料在高回流比的条件下达到全混状态，产生的热量由循环水带走。相邻两个氯化塔之间的高度依次降低，物料靠溢流进行过料，第一个氯化塔连续进料，最后一个氯化塔连续出料实现连续操作。</w:t>
      </w:r>
      <w:r>
        <w:rPr>
          <w:rFonts w:hint="eastAsia"/>
          <w:color w:val="auto"/>
          <w:kern w:val="0"/>
          <w:sz w:val="24"/>
          <w:szCs w:val="24"/>
        </w:rPr>
        <w:t>每个氯化塔设有数个光引发装置，装在氯</w:t>
      </w:r>
      <w:r>
        <w:rPr>
          <w:rFonts w:hint="eastAsia"/>
          <w:kern w:val="0"/>
          <w:sz w:val="24"/>
          <w:szCs w:val="24"/>
        </w:rPr>
        <w:t>化塔外部。氯化塔内部温度控制在100℃以下，压力在0.1MPa以内。</w:t>
      </w:r>
    </w:p>
    <w:p>
      <w:pPr>
        <w:spacing w:line="360" w:lineRule="auto"/>
        <w:ind w:firstLine="480" w:firstLineChars="200"/>
        <w:rPr>
          <w:sz w:val="24"/>
          <w:szCs w:val="24"/>
        </w:rPr>
      </w:pPr>
      <w:r>
        <w:rPr>
          <w:rFonts w:hint="eastAsia"/>
          <w:sz w:val="24"/>
          <w:szCs w:val="24"/>
        </w:rPr>
        <w:t>每个塔反应后会产生废气，废气主要成分为氯气、氯化氢、VOCs、蜡油（气化的氯化石蜡），每个反应塔产生的废气经气液分离后汇总进入一个尾气管，尾气管尾气通往副釜，收集氯化石蜡油后进入尾气收集处理系统。</w:t>
      </w:r>
    </w:p>
    <w:p>
      <w:pPr>
        <w:pStyle w:val="19"/>
        <w:spacing w:line="360" w:lineRule="auto"/>
        <w:ind w:firstLine="480"/>
        <w:rPr>
          <w:sz w:val="24"/>
          <w:szCs w:val="24"/>
        </w:rPr>
      </w:pPr>
      <w:r>
        <w:rPr>
          <w:rFonts w:hint="eastAsia"/>
          <w:sz w:val="24"/>
          <w:szCs w:val="24"/>
        </w:rPr>
        <w:t>3、吹脱精制：</w:t>
      </w:r>
    </w:p>
    <w:p>
      <w:pPr>
        <w:pStyle w:val="19"/>
        <w:spacing w:line="360" w:lineRule="auto"/>
        <w:ind w:firstLine="480"/>
        <w:rPr>
          <w:sz w:val="24"/>
          <w:szCs w:val="24"/>
        </w:rPr>
      </w:pPr>
      <w:r>
        <w:rPr>
          <w:rFonts w:hint="eastAsia"/>
          <w:sz w:val="24"/>
          <w:szCs w:val="24"/>
        </w:rPr>
        <w:t>当最后一级氯化塔的Cl</w:t>
      </w:r>
      <w:r>
        <w:rPr>
          <w:rFonts w:hint="eastAsia"/>
          <w:sz w:val="24"/>
          <w:szCs w:val="24"/>
          <w:vertAlign w:val="subscript"/>
        </w:rPr>
        <w:t>2</w:t>
      </w:r>
      <w:r>
        <w:rPr>
          <w:rFonts w:hint="eastAsia"/>
          <w:sz w:val="24"/>
          <w:szCs w:val="24"/>
        </w:rPr>
        <w:t>和液蜡反应达到工艺要求密度后（1.23~1.25），将粗产品移至吹风精制塔，同时向精制塔中通入压缩空气（流量约为 50-100m</w:t>
      </w:r>
      <w:r>
        <w:rPr>
          <w:rFonts w:hint="eastAsia"/>
          <w:sz w:val="24"/>
          <w:szCs w:val="24"/>
          <w:vertAlign w:val="superscript"/>
        </w:rPr>
        <w:t>3</w:t>
      </w:r>
      <w:r>
        <w:rPr>
          <w:rFonts w:hint="eastAsia"/>
          <w:sz w:val="24"/>
          <w:szCs w:val="24"/>
        </w:rPr>
        <w:t>/h，环评中取100m</w:t>
      </w:r>
      <w:r>
        <w:rPr>
          <w:rFonts w:hint="eastAsia"/>
          <w:sz w:val="24"/>
          <w:szCs w:val="24"/>
          <w:vertAlign w:val="superscript"/>
        </w:rPr>
        <w:t>3</w:t>
      </w:r>
      <w:r>
        <w:rPr>
          <w:rFonts w:hint="eastAsia"/>
          <w:sz w:val="24"/>
          <w:szCs w:val="24"/>
        </w:rPr>
        <w:t>/h），压缩空气每次吹风时间3~6h（取6h），共吹4次，吹脱出氯化石蜡中溶解的HCl和Cl</w:t>
      </w:r>
      <w:r>
        <w:rPr>
          <w:rFonts w:hint="eastAsia"/>
          <w:sz w:val="24"/>
          <w:szCs w:val="24"/>
          <w:vertAlign w:val="subscript"/>
        </w:rPr>
        <w:t>2</w:t>
      </w:r>
      <w:r>
        <w:rPr>
          <w:rFonts w:hint="eastAsia"/>
          <w:sz w:val="24"/>
          <w:szCs w:val="24"/>
        </w:rPr>
        <w:t>，吹脱出的气体进入填料塔进行尾气吸收，得到的稀酸进入循环酸罐中，稀酸进</w:t>
      </w:r>
      <w:r>
        <w:rPr>
          <w:rFonts w:hint="eastAsia"/>
          <w:color w:val="auto"/>
          <w:sz w:val="24"/>
          <w:szCs w:val="24"/>
        </w:rPr>
        <w:t>入氯化尾气降膜吸收塔吸收成浓酸后外售处理。吹气结束后向吹风精制塔内加入稳定剂（乙二醇二缩水甘油醚</w:t>
      </w:r>
      <w:r>
        <w:rPr>
          <w:rFonts w:hint="eastAsia"/>
          <w:sz w:val="24"/>
          <w:szCs w:val="24"/>
        </w:rPr>
        <w:t>），即可得到成品氯化石蜡，用泵输送至产品储罐中待售。</w:t>
      </w:r>
    </w:p>
    <w:p>
      <w:pPr>
        <w:pStyle w:val="19"/>
        <w:spacing w:line="360" w:lineRule="auto"/>
        <w:ind w:firstLine="480"/>
        <w:rPr>
          <w:sz w:val="24"/>
          <w:szCs w:val="24"/>
        </w:rPr>
      </w:pPr>
      <w:r>
        <w:rPr>
          <w:rFonts w:hint="eastAsia"/>
          <w:sz w:val="24"/>
          <w:szCs w:val="24"/>
        </w:rPr>
        <w:t>4、尾气吸收工段：</w:t>
      </w:r>
    </w:p>
    <w:p>
      <w:pPr>
        <w:pStyle w:val="19"/>
        <w:spacing w:line="360" w:lineRule="auto"/>
        <w:ind w:firstLine="480"/>
        <w:rPr>
          <w:sz w:val="24"/>
          <w:szCs w:val="24"/>
        </w:rPr>
      </w:pPr>
      <w:r>
        <w:rPr>
          <w:rFonts w:hint="eastAsia"/>
          <w:sz w:val="24"/>
          <w:szCs w:val="24"/>
        </w:rPr>
        <w:t>每个氯化反应塔反应产生的废气经气液分离+副釜+两级冷却+降膜吸收后尾气进入尾气吸收工段，尾气吸收采用碱喷淋吸收，尾气经碱喷淋吸收后经25m 排气筒P1排放。</w:t>
      </w:r>
    </w:p>
    <w:p>
      <w:pPr>
        <w:pStyle w:val="19"/>
        <w:spacing w:line="360" w:lineRule="auto"/>
        <w:ind w:firstLine="480"/>
        <w:rPr>
          <w:rFonts w:hint="eastAsia" w:eastAsia="宋体"/>
          <w:sz w:val="24"/>
          <w:szCs w:val="24"/>
          <w:lang w:eastAsia="zh-CN"/>
        </w:rPr>
      </w:pPr>
      <w:r>
        <w:rPr>
          <w:rFonts w:hint="eastAsia"/>
          <w:sz w:val="24"/>
          <w:szCs w:val="24"/>
        </w:rPr>
        <w:t>气液分离与两级冷却产生的蜡油回用至氯化塔。两级冷却均采用冷冻盐水</w:t>
      </w:r>
      <w:r>
        <w:rPr>
          <w:rFonts w:hint="eastAsia"/>
          <w:sz w:val="24"/>
          <w:szCs w:val="24"/>
          <w:lang w:eastAsia="zh-CN"/>
        </w:rPr>
        <w:t>。</w:t>
      </w:r>
    </w:p>
    <w:p>
      <w:pPr>
        <w:pStyle w:val="19"/>
        <w:spacing w:line="360" w:lineRule="auto"/>
        <w:ind w:firstLine="480"/>
        <w:rPr>
          <w:sz w:val="24"/>
          <w:szCs w:val="24"/>
        </w:rPr>
      </w:pPr>
      <w:r>
        <w:rPr>
          <w:rFonts w:hint="eastAsia"/>
          <w:sz w:val="24"/>
          <w:szCs w:val="24"/>
        </w:rPr>
        <w:t>5、产品包装：</w:t>
      </w:r>
    </w:p>
    <w:p>
      <w:pPr>
        <w:pStyle w:val="19"/>
        <w:spacing w:line="360" w:lineRule="auto"/>
        <w:ind w:firstLine="480"/>
        <w:rPr>
          <w:sz w:val="24"/>
          <w:szCs w:val="24"/>
        </w:rPr>
      </w:pPr>
      <w:r>
        <w:rPr>
          <w:rFonts w:hint="eastAsia"/>
          <w:sz w:val="24"/>
          <w:szCs w:val="24"/>
        </w:rPr>
        <w:t>成品氯化石蜡通过销售泵从成品储罐进行包装（槽车）。</w:t>
      </w:r>
    </w:p>
    <w:p>
      <w:pPr>
        <w:pStyle w:val="20"/>
        <w:rPr>
          <w:sz w:val="24"/>
          <w:szCs w:val="24"/>
        </w:rPr>
      </w:pPr>
    </w:p>
    <w:p>
      <w:pPr>
        <w:pStyle w:val="20"/>
        <w:rPr>
          <w:sz w:val="24"/>
          <w:szCs w:val="24"/>
        </w:rPr>
      </w:pPr>
    </w:p>
    <w:p>
      <w:pPr>
        <w:pStyle w:val="20"/>
        <w:rPr>
          <w:sz w:val="24"/>
          <w:szCs w:val="24"/>
        </w:rPr>
      </w:pPr>
    </w:p>
    <w:p>
      <w:pPr>
        <w:pStyle w:val="20"/>
        <w:rPr>
          <w:sz w:val="24"/>
          <w:szCs w:val="24"/>
        </w:rPr>
      </w:pPr>
    </w:p>
    <w:p>
      <w:pPr>
        <w:pStyle w:val="20"/>
        <w:rPr>
          <w:sz w:val="24"/>
          <w:szCs w:val="24"/>
        </w:rPr>
      </w:pPr>
    </w:p>
    <w:p>
      <w:pPr>
        <w:pStyle w:val="20"/>
        <w:rPr>
          <w:sz w:val="24"/>
          <w:szCs w:val="24"/>
        </w:rPr>
      </w:pPr>
    </w:p>
    <w:p>
      <w:pPr>
        <w:pStyle w:val="20"/>
        <w:rPr>
          <w:sz w:val="24"/>
          <w:szCs w:val="24"/>
        </w:rPr>
      </w:pPr>
    </w:p>
    <w:p>
      <w:pPr>
        <w:pStyle w:val="20"/>
        <w:rPr>
          <w:sz w:val="24"/>
          <w:szCs w:val="24"/>
        </w:rPr>
      </w:pPr>
    </w:p>
    <w:p>
      <w:pPr>
        <w:pStyle w:val="20"/>
        <w:rPr>
          <w:sz w:val="24"/>
          <w:szCs w:val="24"/>
        </w:rPr>
      </w:pPr>
    </w:p>
    <w:p>
      <w:pPr>
        <w:pStyle w:val="20"/>
        <w:rPr>
          <w:sz w:val="24"/>
          <w:szCs w:val="24"/>
        </w:rPr>
      </w:pPr>
    </w:p>
    <w:p>
      <w:pPr>
        <w:pStyle w:val="20"/>
        <w:rPr>
          <w:sz w:val="24"/>
          <w:szCs w:val="24"/>
        </w:rPr>
      </w:pPr>
    </w:p>
    <w:p>
      <w:pPr>
        <w:pStyle w:val="20"/>
        <w:rPr>
          <w:sz w:val="24"/>
          <w:szCs w:val="24"/>
        </w:rPr>
      </w:pPr>
    </w:p>
    <w:p>
      <w:pPr>
        <w:pStyle w:val="20"/>
        <w:rPr>
          <w:sz w:val="24"/>
          <w:szCs w:val="24"/>
        </w:rPr>
      </w:pPr>
    </w:p>
    <w:p>
      <w:pPr>
        <w:pStyle w:val="20"/>
        <w:rPr>
          <w:sz w:val="24"/>
          <w:szCs w:val="24"/>
        </w:rPr>
      </w:pPr>
    </w:p>
    <w:p>
      <w:pPr>
        <w:pStyle w:val="20"/>
        <w:rPr>
          <w:sz w:val="24"/>
          <w:szCs w:val="24"/>
        </w:rPr>
      </w:pPr>
    </w:p>
    <w:p>
      <w:pPr>
        <w:pStyle w:val="20"/>
        <w:rPr>
          <w:sz w:val="24"/>
          <w:szCs w:val="24"/>
        </w:rPr>
      </w:pPr>
    </w:p>
    <w:p>
      <w:pPr>
        <w:pStyle w:val="20"/>
        <w:spacing w:line="360" w:lineRule="auto"/>
        <w:jc w:val="center"/>
        <w:rPr>
          <w:b/>
          <w:bCs/>
          <w:sz w:val="21"/>
          <w:szCs w:val="21"/>
        </w:rPr>
      </w:pPr>
      <w:r>
        <w:drawing>
          <wp:anchor distT="0" distB="0" distL="114300" distR="114300" simplePos="0" relativeHeight="251669504" behindDoc="0" locked="0" layoutInCell="1" allowOverlap="1">
            <wp:simplePos x="0" y="0"/>
            <wp:positionH relativeFrom="column">
              <wp:posOffset>-188595</wp:posOffset>
            </wp:positionH>
            <wp:positionV relativeFrom="paragraph">
              <wp:posOffset>67945</wp:posOffset>
            </wp:positionV>
            <wp:extent cx="5647055" cy="4128135"/>
            <wp:effectExtent l="0" t="0" r="10795" b="5715"/>
            <wp:wrapSquare wrapText="bothSides"/>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36"/>
                    <a:stretch>
                      <a:fillRect/>
                    </a:stretch>
                  </pic:blipFill>
                  <pic:spPr>
                    <a:xfrm>
                      <a:off x="0" y="0"/>
                      <a:ext cx="5647055" cy="4128135"/>
                    </a:xfrm>
                    <a:prstGeom prst="rect">
                      <a:avLst/>
                    </a:prstGeom>
                    <a:noFill/>
                    <a:ln>
                      <a:noFill/>
                    </a:ln>
                  </pic:spPr>
                </pic:pic>
              </a:graphicData>
            </a:graphic>
          </wp:anchor>
        </w:drawing>
      </w:r>
      <w:r>
        <w:rPr>
          <w:rFonts w:hint="eastAsia"/>
          <w:b/>
          <w:bCs/>
          <w:sz w:val="21"/>
          <w:szCs w:val="21"/>
        </w:rPr>
        <w:t xml:space="preserve">                            注：碱液吸收为共用一套</w:t>
      </w:r>
    </w:p>
    <w:p>
      <w:pPr>
        <w:pStyle w:val="20"/>
        <w:jc w:val="center"/>
        <w:rPr>
          <w:b/>
          <w:bCs/>
          <w:sz w:val="21"/>
          <w:szCs w:val="21"/>
        </w:rPr>
      </w:pPr>
      <w:r>
        <w:rPr>
          <w:rFonts w:hint="eastAsia"/>
          <w:b/>
          <w:bCs/>
          <w:sz w:val="21"/>
          <w:szCs w:val="21"/>
        </w:rPr>
        <w:t>图3.5-1氯化石蜡工艺流程及产污环节图</w:t>
      </w:r>
    </w:p>
    <w:p>
      <w:pPr>
        <w:pStyle w:val="10"/>
        <w:spacing w:line="360" w:lineRule="auto"/>
        <w:rPr>
          <w:bCs w:val="0"/>
        </w:rPr>
      </w:pPr>
      <w:bookmarkStart w:id="40" w:name="_Toc23445"/>
      <w:r>
        <w:rPr>
          <w:bCs w:val="0"/>
        </w:rPr>
        <w:t>3.6项目变更情况</w:t>
      </w:r>
      <w:bookmarkEnd w:id="40"/>
    </w:p>
    <w:p>
      <w:pPr>
        <w:pStyle w:val="10"/>
        <w:spacing w:line="360" w:lineRule="auto"/>
        <w:ind w:firstLine="480" w:firstLineChars="200"/>
        <w:rPr>
          <w:b w:val="0"/>
          <w:bCs w:val="0"/>
          <w:sz w:val="24"/>
          <w:szCs w:val="24"/>
        </w:rPr>
        <w:sectPr>
          <w:footerReference r:id="rId12"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bookmarkStart w:id="41" w:name="_Toc7841"/>
      <w:r>
        <w:rPr>
          <w:b w:val="0"/>
          <w:bCs w:val="0"/>
          <w:sz w:val="24"/>
          <w:szCs w:val="24"/>
        </w:rPr>
        <w:t>本项目实际建设情况与环评及批复要求</w:t>
      </w:r>
      <w:r>
        <w:rPr>
          <w:rFonts w:hint="eastAsia"/>
          <w:b w:val="0"/>
          <w:bCs w:val="0"/>
          <w:sz w:val="24"/>
          <w:szCs w:val="24"/>
        </w:rPr>
        <w:t>一致无变动情况，</w:t>
      </w:r>
      <w:r>
        <w:rPr>
          <w:b w:val="0"/>
          <w:bCs w:val="0"/>
          <w:sz w:val="24"/>
          <w:szCs w:val="24"/>
        </w:rPr>
        <w:t>本项目不存在重大变动</w:t>
      </w:r>
      <w:r>
        <w:rPr>
          <w:rFonts w:hint="eastAsia"/>
          <w:b w:val="0"/>
          <w:bCs w:val="0"/>
          <w:sz w:val="24"/>
          <w:szCs w:val="24"/>
        </w:rPr>
        <w:t>。</w:t>
      </w:r>
      <w:bookmarkEnd w:id="41"/>
    </w:p>
    <w:p>
      <w:pPr>
        <w:pStyle w:val="9"/>
        <w:spacing w:line="360" w:lineRule="auto"/>
        <w:contextualSpacing/>
      </w:pPr>
      <w:bookmarkStart w:id="42" w:name="_Toc13296"/>
      <w:r>
        <w:t>第四章 环境保护设施</w:t>
      </w:r>
      <w:bookmarkEnd w:id="42"/>
    </w:p>
    <w:p>
      <w:pPr>
        <w:pStyle w:val="10"/>
        <w:spacing w:line="360" w:lineRule="auto"/>
        <w:contextualSpacing/>
        <w:rPr>
          <w:bCs w:val="0"/>
        </w:rPr>
      </w:pPr>
      <w:bookmarkStart w:id="43" w:name="_Toc28442"/>
      <w:r>
        <w:rPr>
          <w:bCs w:val="0"/>
        </w:rPr>
        <w:t>4.1 主要污染物及其治理措施</w:t>
      </w:r>
      <w:bookmarkEnd w:id="43"/>
    </w:p>
    <w:p>
      <w:pPr>
        <w:pStyle w:val="11"/>
      </w:pPr>
      <w:bookmarkStart w:id="44" w:name="_Toc18694"/>
      <w:r>
        <w:t>4.1.1 有组织废气</w:t>
      </w:r>
      <w:bookmarkEnd w:id="44"/>
    </w:p>
    <w:p>
      <w:pPr>
        <w:pStyle w:val="23"/>
        <w:spacing w:after="0" w:line="360" w:lineRule="auto"/>
        <w:ind w:firstLine="480" w:firstLineChars="200"/>
        <w:contextualSpacing/>
        <w:rPr>
          <w:sz w:val="24"/>
          <w:szCs w:val="24"/>
        </w:rPr>
      </w:pPr>
      <w:bookmarkStart w:id="45" w:name="_Hlk171416228"/>
      <w:r>
        <w:rPr>
          <w:rFonts w:ascii="宋体" w:hAnsi="宋体" w:cs="宋体"/>
          <w:sz w:val="24"/>
          <w:szCs w:val="24"/>
        </w:rPr>
        <w:t>氯化</w:t>
      </w:r>
      <w:r>
        <w:rPr>
          <w:rFonts w:hint="eastAsia" w:ascii="宋体" w:hAnsi="宋体" w:cs="宋体"/>
          <w:sz w:val="24"/>
          <w:szCs w:val="24"/>
        </w:rPr>
        <w:t>反应工序</w:t>
      </w:r>
      <w:r>
        <w:rPr>
          <w:rFonts w:hint="eastAsia"/>
          <w:sz w:val="24"/>
        </w:rPr>
        <w:t>产</w:t>
      </w:r>
      <w:r>
        <w:rPr>
          <w:sz w:val="24"/>
        </w:rPr>
        <w:t>生的</w:t>
      </w:r>
      <w:r>
        <w:rPr>
          <w:sz w:val="24"/>
          <w:szCs w:val="24"/>
        </w:rPr>
        <w:t>Cl</w:t>
      </w:r>
      <w:r>
        <w:rPr>
          <w:sz w:val="24"/>
          <w:szCs w:val="24"/>
          <w:vertAlign w:val="subscript"/>
        </w:rPr>
        <w:t>2</w:t>
      </w:r>
      <w:r>
        <w:rPr>
          <w:sz w:val="24"/>
          <w:szCs w:val="24"/>
        </w:rPr>
        <w:t xml:space="preserve">、HCl、VOCs </w:t>
      </w:r>
      <w:r>
        <w:rPr>
          <w:rFonts w:hint="eastAsia"/>
          <w:sz w:val="24"/>
        </w:rPr>
        <w:t>经</w:t>
      </w:r>
      <w:r>
        <w:rPr>
          <w:rFonts w:ascii="宋体" w:hAnsi="宋体" w:cs="宋体"/>
          <w:sz w:val="24"/>
          <w:szCs w:val="24"/>
        </w:rPr>
        <w:t>气液分离+两级副釜+两级冷却+降膜吸收</w:t>
      </w:r>
      <w:r>
        <w:rPr>
          <w:rFonts w:hint="eastAsia"/>
          <w:sz w:val="24"/>
        </w:rPr>
        <w:t>+碱液吸收后由25米高的排气筒</w:t>
      </w:r>
      <w:r>
        <w:rPr>
          <w:rFonts w:hint="eastAsia"/>
          <w:color w:val="auto"/>
          <w:sz w:val="24"/>
        </w:rPr>
        <w:t>P1排放；</w:t>
      </w:r>
      <w:r>
        <w:rPr>
          <w:rFonts w:ascii="宋体" w:hAnsi="宋体" w:cs="宋体"/>
          <w:color w:val="auto"/>
          <w:sz w:val="24"/>
          <w:szCs w:val="24"/>
        </w:rPr>
        <w:t>吹脱精制</w:t>
      </w:r>
      <w:r>
        <w:rPr>
          <w:color w:val="auto"/>
          <w:sz w:val="24"/>
          <w:szCs w:val="24"/>
        </w:rPr>
        <w:t>工序产生</w:t>
      </w:r>
      <w:r>
        <w:rPr>
          <w:rFonts w:hint="eastAsia"/>
          <w:color w:val="auto"/>
          <w:sz w:val="24"/>
          <w:szCs w:val="24"/>
        </w:rPr>
        <w:t>的</w:t>
      </w:r>
      <w:r>
        <w:rPr>
          <w:color w:val="auto"/>
          <w:sz w:val="24"/>
          <w:szCs w:val="24"/>
        </w:rPr>
        <w:t>HCl、Cl</w:t>
      </w:r>
      <w:r>
        <w:rPr>
          <w:color w:val="auto"/>
          <w:sz w:val="24"/>
          <w:szCs w:val="24"/>
          <w:vertAlign w:val="subscript"/>
        </w:rPr>
        <w:t>2</w:t>
      </w:r>
      <w:r>
        <w:rPr>
          <w:color w:val="auto"/>
          <w:sz w:val="24"/>
          <w:szCs w:val="24"/>
        </w:rPr>
        <w:t>、VOCs</w:t>
      </w:r>
      <w:r>
        <w:rPr>
          <w:rFonts w:hint="eastAsia"/>
          <w:color w:val="auto"/>
          <w:sz w:val="24"/>
          <w:szCs w:val="24"/>
        </w:rPr>
        <w:t>废气经</w:t>
      </w:r>
      <w:r>
        <w:rPr>
          <w:rFonts w:ascii="宋体" w:hAnsi="宋体" w:cs="宋体"/>
          <w:color w:val="auto"/>
          <w:sz w:val="24"/>
          <w:szCs w:val="24"/>
        </w:rPr>
        <w:t>降膜</w:t>
      </w:r>
      <w:r>
        <w:rPr>
          <w:rFonts w:hint="eastAsia" w:ascii="宋体" w:hAnsi="宋体" w:cs="宋体"/>
          <w:color w:val="auto"/>
          <w:sz w:val="24"/>
          <w:szCs w:val="24"/>
        </w:rPr>
        <w:t>吸收+</w:t>
      </w:r>
      <w:r>
        <w:rPr>
          <w:rFonts w:hint="eastAsia"/>
          <w:color w:val="auto"/>
          <w:sz w:val="24"/>
        </w:rPr>
        <w:t>碱液吸收后由25米高的排气筒P1排放；</w:t>
      </w:r>
      <w:r>
        <w:rPr>
          <w:rFonts w:ascii="宋体" w:hAnsi="宋体" w:cs="宋体"/>
          <w:color w:val="auto"/>
          <w:sz w:val="24"/>
          <w:szCs w:val="24"/>
        </w:rPr>
        <w:t>盐酸储罐</w:t>
      </w:r>
      <w:r>
        <w:rPr>
          <w:rFonts w:hint="eastAsia" w:ascii="宋体" w:hAnsi="宋体" w:cs="宋体"/>
          <w:color w:val="auto"/>
          <w:sz w:val="24"/>
          <w:szCs w:val="24"/>
        </w:rPr>
        <w:t>产生的小呼吸废气</w:t>
      </w:r>
      <w:r>
        <w:rPr>
          <w:color w:val="auto"/>
          <w:sz w:val="24"/>
          <w:szCs w:val="24"/>
        </w:rPr>
        <w:t>HCl</w:t>
      </w:r>
      <w:r>
        <w:rPr>
          <w:rFonts w:hint="eastAsia" w:ascii="宋体" w:hAnsi="宋体" w:cs="宋体"/>
          <w:color w:val="auto"/>
          <w:sz w:val="24"/>
          <w:szCs w:val="24"/>
        </w:rPr>
        <w:t>经水浴吸</w:t>
      </w:r>
      <w:r>
        <w:rPr>
          <w:rFonts w:hint="eastAsia" w:ascii="宋体" w:hAnsi="宋体" w:cs="宋体"/>
          <w:color w:val="auto"/>
          <w:sz w:val="24"/>
          <w:szCs w:val="24"/>
          <w:lang w:val="en-US" w:eastAsia="zh-CN"/>
        </w:rPr>
        <w:t>收</w:t>
      </w:r>
      <w:r>
        <w:rPr>
          <w:rFonts w:hint="eastAsia" w:ascii="宋体" w:hAnsi="宋体" w:cs="宋体"/>
          <w:color w:val="auto"/>
          <w:sz w:val="24"/>
          <w:szCs w:val="24"/>
        </w:rPr>
        <w:t>+</w:t>
      </w:r>
      <w:r>
        <w:rPr>
          <w:rFonts w:hint="eastAsia"/>
          <w:color w:val="auto"/>
          <w:sz w:val="24"/>
        </w:rPr>
        <w:t>碱液吸收后由25米高的排气筒P1排放</w:t>
      </w:r>
      <w:bookmarkEnd w:id="45"/>
      <w:r>
        <w:rPr>
          <w:color w:val="auto"/>
          <w:sz w:val="24"/>
        </w:rPr>
        <w:t>。</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22" w:type="dxa"/>
            <w:vAlign w:val="center"/>
          </w:tcPr>
          <w:p>
            <w:pPr>
              <w:pStyle w:val="23"/>
              <w:jc w:val="center"/>
              <w:rPr>
                <w:kern w:val="0"/>
                <w:sz w:val="20"/>
              </w:rPr>
            </w:pPr>
            <w:r>
              <w:rPr>
                <w:rFonts w:hint="eastAsia"/>
                <w:kern w:val="0"/>
                <w:sz w:val="20"/>
              </w:rPr>
              <w:drawing>
                <wp:anchor distT="0" distB="0" distL="114300" distR="114300" simplePos="0" relativeHeight="251673600" behindDoc="0" locked="0" layoutInCell="1" allowOverlap="1">
                  <wp:simplePos x="0" y="0"/>
                  <wp:positionH relativeFrom="column">
                    <wp:posOffset>-7620</wp:posOffset>
                  </wp:positionH>
                  <wp:positionV relativeFrom="paragraph">
                    <wp:posOffset>90805</wp:posOffset>
                  </wp:positionV>
                  <wp:extent cx="5271135" cy="5430520"/>
                  <wp:effectExtent l="0" t="0" r="5715" b="17780"/>
                  <wp:wrapSquare wrapText="bothSides"/>
                  <wp:docPr id="38" name="图片 38" descr="1718064610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1718064610257"/>
                          <pic:cNvPicPr>
                            <a:picLocks noChangeAspect="1"/>
                          </pic:cNvPicPr>
                        </pic:nvPicPr>
                        <pic:blipFill>
                          <a:blip r:embed="rId37"/>
                          <a:stretch>
                            <a:fillRect/>
                          </a:stretch>
                        </pic:blipFill>
                        <pic:spPr>
                          <a:xfrm>
                            <a:off x="0" y="0"/>
                            <a:ext cx="5271135" cy="5430520"/>
                          </a:xfrm>
                          <a:prstGeom prst="rect">
                            <a:avLst/>
                          </a:prstGeom>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522" w:type="dxa"/>
            <w:vAlign w:val="center"/>
          </w:tcPr>
          <w:p>
            <w:pPr>
              <w:pStyle w:val="23"/>
              <w:jc w:val="center"/>
            </w:pPr>
            <w:r>
              <w:rPr>
                <w:rFonts w:hint="eastAsia"/>
                <w:b/>
                <w:bCs/>
                <w:sz w:val="24"/>
                <w:szCs w:val="24"/>
                <w:lang w:val="en-US" w:eastAsia="zh-CN"/>
              </w:rPr>
              <w:t xml:space="preserve">图4.1-1 </w:t>
            </w:r>
            <w:r>
              <w:rPr>
                <w:rFonts w:hint="eastAsia"/>
                <w:b/>
                <w:bCs/>
                <w:sz w:val="24"/>
                <w:szCs w:val="24"/>
              </w:rPr>
              <w:t>DA001</w:t>
            </w:r>
            <w:r>
              <w:rPr>
                <w:rFonts w:hint="eastAsia"/>
                <w:b/>
                <w:bCs/>
                <w:kern w:val="0"/>
              </w:rPr>
              <w:t>排气筒标识牌及采样平台</w:t>
            </w:r>
          </w:p>
        </w:tc>
      </w:tr>
    </w:tbl>
    <w:p>
      <w:pPr>
        <w:pStyle w:val="11"/>
      </w:pPr>
      <w:bookmarkStart w:id="46" w:name="_Toc25333"/>
      <w:r>
        <w:t>4.1.2 无组织废气</w:t>
      </w:r>
      <w:bookmarkEnd w:id="46"/>
    </w:p>
    <w:p>
      <w:pPr>
        <w:pStyle w:val="23"/>
        <w:spacing w:line="360" w:lineRule="auto"/>
        <w:ind w:firstLine="480" w:firstLineChars="200"/>
        <w:contextualSpacing/>
        <w:rPr>
          <w:sz w:val="24"/>
          <w:szCs w:val="24"/>
        </w:rPr>
      </w:pPr>
      <w:r>
        <w:rPr>
          <w:rFonts w:hint="eastAsia"/>
          <w:sz w:val="24"/>
          <w:szCs w:val="24"/>
        </w:rPr>
        <w:t>项目的无组织废气主要为括装置区废气、原料、产品集中存储区的大小呼吸废气和跑冒滴漏产生的废气，通过采取以下措施减少无组织的排放。</w:t>
      </w:r>
    </w:p>
    <w:p>
      <w:pPr>
        <w:pStyle w:val="23"/>
        <w:spacing w:line="360" w:lineRule="auto"/>
        <w:ind w:firstLine="480" w:firstLineChars="200"/>
        <w:contextualSpacing/>
        <w:rPr>
          <w:sz w:val="24"/>
          <w:szCs w:val="24"/>
        </w:rPr>
      </w:pPr>
      <w:r>
        <w:rPr>
          <w:rFonts w:hint="eastAsia"/>
          <w:sz w:val="24"/>
          <w:szCs w:val="24"/>
        </w:rPr>
        <w:t>（1）该项目液体物料在装卸车过程中均采用平衡管，随着罐车内的液体物料送入储罐内，储罐内的大呼吸废气进入罐车之中，再由罐车带出，通过吸收、吸附或冷凝等工艺中的一种或两种方法，或减少废气的污染，或使废气从气态转变为液态，重新变为液体原料，达到回收利用的目的。</w:t>
      </w:r>
    </w:p>
    <w:p>
      <w:pPr>
        <w:spacing w:before="0" w:after="0" w:line="360" w:lineRule="auto"/>
        <w:ind w:left="0" w:right="0" w:firstLine="0"/>
        <w:jc w:val="left"/>
        <w:rPr>
          <w:rFonts w:hint="eastAsia" w:ascii="Times New Roman" w:hAnsi="Times New Roman" w:eastAsia="宋体" w:cs="Times New Roman"/>
          <w:kern w:val="2"/>
          <w:sz w:val="24"/>
          <w:szCs w:val="24"/>
          <w:lang w:val="en-US" w:eastAsia="zh-CN" w:bidi="ar-SA"/>
        </w:rPr>
      </w:pPr>
      <w:r>
        <w:rPr>
          <w:rFonts w:hint="eastAsia"/>
          <w:sz w:val="24"/>
          <w:szCs w:val="24"/>
        </w:rPr>
        <w:t>（2）</w:t>
      </w:r>
      <w:r>
        <w:rPr>
          <w:rFonts w:hint="eastAsia"/>
          <w:sz w:val="24"/>
          <w:szCs w:val="24"/>
          <w:highlight w:val="none"/>
          <w:shd w:val="clear"/>
        </w:rPr>
        <w:t>盐酸储罐为固定罐，管道输送，产生的小呼吸废气采取水浴吸收处理后有组织排放</w:t>
      </w:r>
      <w:r>
        <w:rPr>
          <w:rFonts w:hint="eastAsia" w:ascii="Times New Roman" w:hAnsi="Times New Roman" w:eastAsia="宋体" w:cs="Times New Roman"/>
          <w:kern w:val="2"/>
          <w:sz w:val="24"/>
          <w:szCs w:val="24"/>
          <w:highlight w:val="none"/>
          <w:shd w:val="clear"/>
          <w:lang w:val="en-US" w:eastAsia="zh-CN" w:bidi="ar-SA"/>
        </w:rPr>
        <w:t>，没被吸收的无组织排放</w:t>
      </w:r>
      <w:r>
        <w:rPr>
          <w:rFonts w:hint="eastAsia" w:cs="Times New Roman"/>
          <w:kern w:val="2"/>
          <w:sz w:val="24"/>
          <w:szCs w:val="24"/>
          <w:highlight w:val="none"/>
          <w:shd w:val="clear"/>
          <w:lang w:val="en-US" w:eastAsia="zh-CN" w:bidi="ar-SA"/>
        </w:rPr>
        <w:t>。</w:t>
      </w:r>
    </w:p>
    <w:p>
      <w:pPr>
        <w:pStyle w:val="23"/>
        <w:spacing w:after="0" w:line="360" w:lineRule="auto"/>
        <w:ind w:firstLine="480" w:firstLineChars="200"/>
        <w:contextualSpacing/>
        <w:rPr>
          <w:sz w:val="24"/>
          <w:szCs w:val="24"/>
        </w:rPr>
      </w:pPr>
      <w:r>
        <w:rPr>
          <w:rFonts w:hint="eastAsia"/>
          <w:sz w:val="24"/>
          <w:szCs w:val="24"/>
        </w:rPr>
        <w:t>（3）定期检查呼吸阀的定压</w:t>
      </w:r>
      <w:r>
        <w:rPr>
          <w:rFonts w:hint="eastAsia"/>
          <w:sz w:val="24"/>
          <w:szCs w:val="24"/>
          <w:lang w:val="en-US" w:eastAsia="zh-CN"/>
        </w:rPr>
        <w:t>确定</w:t>
      </w:r>
      <w:r>
        <w:rPr>
          <w:rFonts w:hint="eastAsia"/>
          <w:sz w:val="24"/>
          <w:szCs w:val="24"/>
        </w:rPr>
        <w:t>符合设定要求。</w:t>
      </w:r>
    </w:p>
    <w:p>
      <w:pPr>
        <w:pStyle w:val="11"/>
        <w:contextualSpacing/>
      </w:pPr>
      <w:bookmarkStart w:id="47" w:name="_Toc63"/>
      <w:r>
        <w:t>4.1.3 废水</w:t>
      </w:r>
      <w:bookmarkEnd w:id="47"/>
    </w:p>
    <w:p>
      <w:pPr>
        <w:pStyle w:val="19"/>
        <w:spacing w:line="360" w:lineRule="auto"/>
        <w:ind w:firstLine="480"/>
        <w:contextualSpacing/>
        <w:rPr>
          <w:b/>
        </w:rPr>
      </w:pPr>
      <w:bookmarkStart w:id="48" w:name="_Hlk171416365"/>
      <w:r>
        <w:rPr>
          <w:rFonts w:hint="eastAsia"/>
          <w:sz w:val="24"/>
        </w:rPr>
        <w:t>项目工艺不产生废水，主要废水为初期雨水、蒸汽冷凝水和生活污水。初期雨水排入初期雨水收集</w:t>
      </w:r>
      <w:r>
        <w:rPr>
          <w:rFonts w:hint="eastAsia"/>
          <w:color w:val="auto"/>
          <w:sz w:val="24"/>
        </w:rPr>
        <w:t>池，处理达标后作为盐酸</w:t>
      </w:r>
      <w:r>
        <w:rPr>
          <w:rFonts w:hint="eastAsia"/>
          <w:sz w:val="24"/>
        </w:rPr>
        <w:t>吸收用水回用，不外排；蒸汽冷凝水无杂质，收集后作为盐酸吸收用水回用，不外排；生活污水经化粪池处理后由环卫清掏，不外排</w:t>
      </w:r>
      <w:bookmarkEnd w:id="48"/>
      <w:r>
        <w:rPr>
          <w:rFonts w:hint="eastAsia"/>
          <w:sz w:val="24"/>
        </w:rPr>
        <w:t>。</w:t>
      </w:r>
    </w:p>
    <w:p>
      <w:pPr>
        <w:pStyle w:val="11"/>
      </w:pPr>
      <w:bookmarkStart w:id="49" w:name="_Toc139"/>
      <w:r>
        <w:t>4.1.4 固体废物</w:t>
      </w:r>
      <w:bookmarkEnd w:id="49"/>
    </w:p>
    <w:p>
      <w:pPr>
        <w:pStyle w:val="23"/>
        <w:spacing w:line="360" w:lineRule="auto"/>
        <w:ind w:firstLine="480" w:firstLineChars="200"/>
        <w:contextualSpacing/>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本项目产生的固废主要有生活</w:t>
      </w:r>
      <w:r>
        <w:rPr>
          <w:rFonts w:hint="eastAsia"/>
          <w:color w:val="auto"/>
          <w:sz w:val="24"/>
          <w:szCs w:val="24"/>
        </w:rPr>
        <w:t>垃圾</w:t>
      </w:r>
      <w:r>
        <w:rPr>
          <w:rFonts w:hint="eastAsia"/>
          <w:color w:val="auto"/>
          <w:sz w:val="24"/>
          <w:szCs w:val="24"/>
          <w:lang w:val="en-US" w:eastAsia="zh-CN"/>
        </w:rPr>
        <w:t>、</w:t>
      </w:r>
      <w:r>
        <w:rPr>
          <w:rFonts w:hint="eastAsia"/>
          <w:color w:val="auto"/>
          <w:sz w:val="24"/>
          <w:szCs w:val="24"/>
        </w:rPr>
        <w:t>设备维护</w:t>
      </w:r>
      <w:r>
        <w:rPr>
          <w:rFonts w:hint="eastAsia"/>
          <w:color w:val="000000" w:themeColor="text1"/>
          <w:sz w:val="24"/>
          <w:szCs w:val="24"/>
          <w14:textFill>
            <w14:solidFill>
              <w14:schemeClr w14:val="tx1"/>
            </w14:solidFill>
          </w14:textFill>
        </w:rPr>
        <w:t>产生的废机油桶和废机油。</w:t>
      </w:r>
    </w:p>
    <w:p>
      <w:pPr>
        <w:pStyle w:val="23"/>
        <w:numPr>
          <w:ilvl w:val="0"/>
          <w:numId w:val="2"/>
        </w:numPr>
        <w:spacing w:line="360" w:lineRule="auto"/>
        <w:ind w:firstLine="480" w:firstLineChars="200"/>
        <w:contextualSpacing/>
        <w:jc w:val="left"/>
        <w:rPr>
          <w:rFonts w:hint="eastAsia"/>
          <w:sz w:val="24"/>
          <w:szCs w:val="24"/>
        </w:rPr>
      </w:pPr>
      <w:r>
        <w:rPr>
          <w:rFonts w:hint="eastAsia"/>
          <w:sz w:val="24"/>
          <w:szCs w:val="24"/>
        </w:rPr>
        <w:t>生活垃圾：根据企业提供信息，本项目劳动定员为30人，全年工作330天，生活垃圾年产生量约为4.125t/a。由环卫部门定期清运处理；</w:t>
      </w:r>
    </w:p>
    <w:p>
      <w:pPr>
        <w:pStyle w:val="23"/>
        <w:numPr>
          <w:ilvl w:val="0"/>
          <w:numId w:val="2"/>
        </w:numPr>
        <w:spacing w:line="360" w:lineRule="auto"/>
        <w:ind w:firstLine="480" w:firstLineChars="200"/>
        <w:contextualSpacing/>
        <w:jc w:val="left"/>
        <w:rPr>
          <w:rFonts w:hint="eastAsia"/>
          <w:sz w:val="24"/>
          <w:szCs w:val="24"/>
        </w:rPr>
      </w:pPr>
      <w:r>
        <w:rPr>
          <w:rFonts w:hint="eastAsia"/>
          <w:sz w:val="24"/>
          <w:szCs w:val="24"/>
          <w:lang w:val="en-US" w:eastAsia="zh-CN"/>
        </w:rPr>
        <w:t>污泥：</w:t>
      </w:r>
      <w:r>
        <w:rPr>
          <w:rFonts w:hint="eastAsia"/>
          <w:sz w:val="24"/>
          <w:szCs w:val="24"/>
        </w:rPr>
        <w:t>根据企业提供信息</w:t>
      </w:r>
      <w:r>
        <w:rPr>
          <w:rFonts w:hint="eastAsia"/>
          <w:sz w:val="24"/>
          <w:szCs w:val="24"/>
          <w:lang w:eastAsia="zh-CN"/>
        </w:rPr>
        <w:t>，</w:t>
      </w:r>
      <w:r>
        <w:rPr>
          <w:rFonts w:hint="eastAsia"/>
          <w:sz w:val="24"/>
          <w:szCs w:val="24"/>
          <w:lang w:val="en-US" w:eastAsia="zh-CN"/>
        </w:rPr>
        <w:t>初期雨水收集池内污泥暂未产生。</w:t>
      </w:r>
    </w:p>
    <w:p>
      <w:pPr>
        <w:pStyle w:val="23"/>
        <w:spacing w:line="360" w:lineRule="auto"/>
        <w:ind w:firstLine="480" w:firstLineChars="200"/>
        <w:contextualSpacing/>
        <w:jc w:val="left"/>
        <w:rPr>
          <w:color w:val="FF0000"/>
          <w:sz w:val="24"/>
          <w:szCs w:val="24"/>
        </w:rPr>
      </w:pPr>
      <w:r>
        <w:rPr>
          <w:rFonts w:hint="eastAsia"/>
          <w:sz w:val="24"/>
          <w:szCs w:val="24"/>
        </w:rPr>
        <w:t>（</w:t>
      </w:r>
      <w:r>
        <w:rPr>
          <w:rFonts w:hint="eastAsia"/>
          <w:sz w:val="24"/>
          <w:szCs w:val="24"/>
          <w:lang w:val="en-US" w:eastAsia="zh-CN"/>
        </w:rPr>
        <w:t>3</w:t>
      </w:r>
      <w:r>
        <w:rPr>
          <w:rFonts w:hint="eastAsia"/>
          <w:sz w:val="24"/>
          <w:szCs w:val="24"/>
        </w:rPr>
        <w:t>）废机油桶和废机油：根据企业提供信息，项目每</w:t>
      </w:r>
      <w:r>
        <w:rPr>
          <w:rFonts w:hint="eastAsia"/>
          <w:sz w:val="24"/>
          <w:szCs w:val="24"/>
          <w:highlight w:val="none"/>
        </w:rPr>
        <w:t>3年更换一次机油，一次机油更换量约为60kg，因此，本项目废机油产生量约为60kg/3a，废机油桶产生量约为5kg/3a。根据《国家危险废物名录（2021年版）》，废机油桶、废机</w:t>
      </w:r>
      <w:r>
        <w:rPr>
          <w:rFonts w:hint="eastAsia"/>
          <w:sz w:val="24"/>
          <w:szCs w:val="24"/>
        </w:rPr>
        <w:t>油均属于危险废物。废机油桶废物类别为 HW08，废物代码为 900-249-08；废机油废物类别为HW08，废物代码为 900-214-08。</w:t>
      </w:r>
      <w:bookmarkStart w:id="50" w:name="_Hlk171416461"/>
      <w:r>
        <w:rPr>
          <w:rFonts w:hint="eastAsia"/>
          <w:sz w:val="24"/>
          <w:szCs w:val="24"/>
        </w:rPr>
        <w:t>废机油桶、废机油暂存于危废暂存库内，定期交由具有危废处理资质单位处理。</w:t>
      </w:r>
      <w:bookmarkEnd w:id="50"/>
    </w:p>
    <w:p>
      <w:pPr>
        <w:pStyle w:val="23"/>
        <w:spacing w:line="360" w:lineRule="auto"/>
        <w:ind w:firstLine="480" w:firstLineChars="200"/>
        <w:contextualSpacing/>
        <w:jc w:val="left"/>
        <w:rPr>
          <w:b/>
          <w:bCs/>
        </w:rPr>
      </w:pPr>
      <w:r>
        <w:rPr>
          <w:sz w:val="24"/>
          <w:szCs w:val="24"/>
        </w:rPr>
        <w:t>各固废数量及处理途径详见表4.1-1。</w:t>
      </w:r>
      <w:r>
        <w:rPr>
          <w:rFonts w:hint="eastAsia"/>
          <w:sz w:val="24"/>
          <w:szCs w:val="24"/>
        </w:rPr>
        <w:t>危废暂存库照片见图4.1-</w:t>
      </w:r>
      <w:r>
        <w:rPr>
          <w:rFonts w:hint="eastAsia"/>
          <w:sz w:val="24"/>
          <w:szCs w:val="24"/>
          <w:lang w:val="en-US" w:eastAsia="zh-CN"/>
        </w:rPr>
        <w:t>2</w:t>
      </w:r>
      <w:r>
        <w:rPr>
          <w:rFonts w:hint="eastAsia"/>
          <w:sz w:val="24"/>
          <w:szCs w:val="24"/>
        </w:rPr>
        <w:t>。</w:t>
      </w:r>
    </w:p>
    <w:p>
      <w:pPr>
        <w:jc w:val="center"/>
        <w:rPr>
          <w:b/>
          <w:bCs/>
        </w:rPr>
      </w:pPr>
    </w:p>
    <w:p>
      <w:pPr>
        <w:jc w:val="center"/>
        <w:rPr>
          <w:b/>
          <w:bCs/>
        </w:rPr>
      </w:pPr>
    </w:p>
    <w:p>
      <w:pPr>
        <w:jc w:val="center"/>
        <w:rPr>
          <w:b/>
          <w:bCs/>
        </w:rPr>
      </w:pPr>
    </w:p>
    <w:p>
      <w:pPr>
        <w:jc w:val="center"/>
        <w:rPr>
          <w:b/>
          <w:bCs/>
          <w:color w:val="000000" w:themeColor="text1"/>
          <w14:textFill>
            <w14:solidFill>
              <w14:schemeClr w14:val="tx1"/>
            </w14:solidFill>
          </w14:textFill>
        </w:rPr>
      </w:pPr>
      <w:r>
        <w:rPr>
          <w:b/>
          <w:bCs/>
        </w:rPr>
        <w:t>表4.1-1 固废产生及处置情况一览表</w:t>
      </w:r>
    </w:p>
    <w:tbl>
      <w:tblPr>
        <w:tblStyle w:val="39"/>
        <w:tblW w:w="488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93"/>
        <w:gridCol w:w="989"/>
        <w:gridCol w:w="958"/>
        <w:gridCol w:w="1375"/>
        <w:gridCol w:w="1085"/>
        <w:gridCol w:w="894"/>
        <w:gridCol w:w="1364"/>
        <w:gridCol w:w="126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231" w:type="pct"/>
            <w:gridSpan w:val="4"/>
            <w:vAlign w:val="center"/>
          </w:tcPr>
          <w:p>
            <w:pPr>
              <w:jc w:val="center"/>
            </w:pPr>
            <w:r>
              <w:rPr>
                <w:rFonts w:hint="eastAsia"/>
              </w:rPr>
              <w:t>环评设计</w:t>
            </w:r>
          </w:p>
        </w:tc>
        <w:tc>
          <w:tcPr>
            <w:tcW w:w="2008" w:type="pct"/>
            <w:gridSpan w:val="3"/>
            <w:vAlign w:val="center"/>
          </w:tcPr>
          <w:p>
            <w:pPr>
              <w:jc w:val="center"/>
            </w:pPr>
            <w:r>
              <w:rPr>
                <w:rFonts w:hint="eastAsia"/>
              </w:rPr>
              <w:t>项目实际情况</w:t>
            </w:r>
          </w:p>
        </w:tc>
        <w:tc>
          <w:tcPr>
            <w:tcW w:w="759" w:type="pct"/>
            <w:vMerge w:val="restart"/>
            <w:vAlign w:val="center"/>
          </w:tcPr>
          <w:p>
            <w:pPr>
              <w:jc w:val="center"/>
            </w:pPr>
            <w:r>
              <w:rPr>
                <w:rFonts w:hint="eastAsia"/>
              </w:rPr>
              <w:t>变更情况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830" w:type="pct"/>
            <w:gridSpan w:val="2"/>
            <w:vAlign w:val="center"/>
          </w:tcPr>
          <w:p>
            <w:pPr>
              <w:jc w:val="center"/>
            </w:pPr>
            <w:r>
              <w:rPr>
                <w:rFonts w:hint="eastAsia"/>
              </w:rPr>
              <w:t>固废名称</w:t>
            </w:r>
          </w:p>
        </w:tc>
        <w:tc>
          <w:tcPr>
            <w:tcW w:w="575" w:type="pct"/>
            <w:tcMar>
              <w:top w:w="0" w:type="dxa"/>
              <w:left w:w="0" w:type="dxa"/>
              <w:bottom w:w="0" w:type="dxa"/>
              <w:right w:w="0" w:type="dxa"/>
            </w:tcMar>
            <w:vAlign w:val="center"/>
          </w:tcPr>
          <w:p>
            <w:pPr>
              <w:jc w:val="center"/>
            </w:pPr>
            <w:r>
              <w:rPr>
                <w:rFonts w:hint="eastAsia"/>
              </w:rPr>
              <w:t>产生量（t/a）</w:t>
            </w:r>
          </w:p>
        </w:tc>
        <w:tc>
          <w:tcPr>
            <w:tcW w:w="826" w:type="pct"/>
            <w:vAlign w:val="center"/>
          </w:tcPr>
          <w:p>
            <w:pPr>
              <w:jc w:val="center"/>
            </w:pPr>
            <w:r>
              <w:rPr>
                <w:rFonts w:hint="eastAsia"/>
              </w:rPr>
              <w:t>处置方式</w:t>
            </w:r>
          </w:p>
        </w:tc>
        <w:tc>
          <w:tcPr>
            <w:tcW w:w="651" w:type="pct"/>
            <w:vAlign w:val="center"/>
          </w:tcPr>
          <w:p>
            <w:pPr>
              <w:jc w:val="center"/>
            </w:pPr>
            <w:r>
              <w:rPr>
                <w:rFonts w:hint="eastAsia"/>
              </w:rPr>
              <w:t>固废名称</w:t>
            </w:r>
          </w:p>
        </w:tc>
        <w:tc>
          <w:tcPr>
            <w:tcW w:w="537" w:type="pct"/>
            <w:vAlign w:val="center"/>
          </w:tcPr>
          <w:p>
            <w:pPr>
              <w:jc w:val="center"/>
            </w:pPr>
            <w:r>
              <w:rPr>
                <w:rFonts w:hint="eastAsia"/>
              </w:rPr>
              <w:t>产生量（t/a）</w:t>
            </w:r>
          </w:p>
        </w:tc>
        <w:tc>
          <w:tcPr>
            <w:tcW w:w="819" w:type="pct"/>
            <w:vAlign w:val="center"/>
          </w:tcPr>
          <w:p>
            <w:pPr>
              <w:jc w:val="center"/>
            </w:pPr>
            <w:r>
              <w:rPr>
                <w:rFonts w:hint="eastAsia"/>
              </w:rPr>
              <w:t>处置方式</w:t>
            </w:r>
          </w:p>
        </w:tc>
        <w:tc>
          <w:tcPr>
            <w:tcW w:w="759" w:type="pct"/>
            <w:vMerge w:val="continue"/>
            <w:vAlign w:val="center"/>
          </w:tcPr>
          <w:p>
            <w:pPr>
              <w:jc w:val="cente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6" w:type="pct"/>
            <w:vMerge w:val="restar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危险废物</w:t>
            </w:r>
          </w:p>
        </w:tc>
        <w:tc>
          <w:tcPr>
            <w:tcW w:w="594" w:type="pc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废机油</w:t>
            </w:r>
          </w:p>
        </w:tc>
        <w:tc>
          <w:tcPr>
            <w:tcW w:w="575" w:type="pc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60kg/3a</w:t>
            </w:r>
          </w:p>
        </w:tc>
        <w:tc>
          <w:tcPr>
            <w:tcW w:w="826" w:type="pct"/>
            <w:vMerge w:val="restar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收集后暂存于危废库，委托危废资质单位进行转移和处置</w:t>
            </w:r>
          </w:p>
        </w:tc>
        <w:tc>
          <w:tcPr>
            <w:tcW w:w="651" w:type="pc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废机油</w:t>
            </w:r>
          </w:p>
        </w:tc>
        <w:tc>
          <w:tcPr>
            <w:tcW w:w="537" w:type="pc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暂未产生</w:t>
            </w:r>
          </w:p>
        </w:tc>
        <w:tc>
          <w:tcPr>
            <w:tcW w:w="819" w:type="pct"/>
            <w:vMerge w:val="restar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收集后暂存于危废库，委托危废资质单位进行转移和处置</w:t>
            </w:r>
          </w:p>
        </w:tc>
        <w:tc>
          <w:tcPr>
            <w:tcW w:w="759" w:type="pct"/>
            <w:vMerge w:val="restar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目前暂未产生。</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6" w:type="pct"/>
            <w:vMerge w:val="continue"/>
            <w:vAlign w:val="center"/>
          </w:tcPr>
          <w:p>
            <w:pPr>
              <w:pStyle w:val="26"/>
              <w:jc w:val="center"/>
              <w:rPr>
                <w:rFonts w:ascii="Times New Roman" w:hAnsi="Times New Roman"/>
                <w:sz w:val="21"/>
                <w:szCs w:val="21"/>
              </w:rPr>
            </w:pPr>
          </w:p>
        </w:tc>
        <w:tc>
          <w:tcPr>
            <w:tcW w:w="594" w:type="pc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废机油桶</w:t>
            </w:r>
          </w:p>
        </w:tc>
        <w:tc>
          <w:tcPr>
            <w:tcW w:w="575" w:type="pc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5kg/3a</w:t>
            </w:r>
          </w:p>
        </w:tc>
        <w:tc>
          <w:tcPr>
            <w:tcW w:w="826" w:type="pct"/>
            <w:vMerge w:val="continue"/>
            <w:vAlign w:val="center"/>
          </w:tcPr>
          <w:p>
            <w:pPr>
              <w:pStyle w:val="26"/>
              <w:jc w:val="center"/>
              <w:rPr>
                <w:rFonts w:ascii="Times New Roman" w:hAnsi="Times New Roman" w:cs="Times New Roman"/>
                <w:kern w:val="2"/>
                <w:sz w:val="21"/>
                <w:szCs w:val="21"/>
              </w:rPr>
            </w:pPr>
          </w:p>
        </w:tc>
        <w:tc>
          <w:tcPr>
            <w:tcW w:w="651" w:type="pct"/>
            <w:vAlign w:val="center"/>
          </w:tcPr>
          <w:p>
            <w:pPr>
              <w:pStyle w:val="26"/>
              <w:jc w:val="center"/>
              <w:rPr>
                <w:rFonts w:ascii="Times New Roman" w:hAnsi="Times New Roman"/>
                <w:sz w:val="21"/>
                <w:szCs w:val="21"/>
              </w:rPr>
            </w:pPr>
            <w:r>
              <w:rPr>
                <w:rFonts w:hint="eastAsia" w:ascii="Times New Roman" w:hAnsi="Times New Roman"/>
                <w:sz w:val="21"/>
                <w:szCs w:val="21"/>
              </w:rPr>
              <w:t>废机油桶</w:t>
            </w:r>
          </w:p>
        </w:tc>
        <w:tc>
          <w:tcPr>
            <w:tcW w:w="537" w:type="pct"/>
            <w:vAlign w:val="center"/>
          </w:tcPr>
          <w:p>
            <w:pPr>
              <w:jc w:val="center"/>
              <w:rPr>
                <w:sz w:val="20"/>
                <w:szCs w:val="20"/>
              </w:rPr>
            </w:pPr>
            <w:r>
              <w:rPr>
                <w:rFonts w:hint="eastAsia"/>
              </w:rPr>
              <w:t>暂未产生</w:t>
            </w:r>
          </w:p>
        </w:tc>
        <w:tc>
          <w:tcPr>
            <w:tcW w:w="819" w:type="pct"/>
            <w:vMerge w:val="continue"/>
            <w:vAlign w:val="center"/>
          </w:tcPr>
          <w:p>
            <w:pPr>
              <w:pStyle w:val="26"/>
              <w:jc w:val="center"/>
              <w:rPr>
                <w:rFonts w:ascii="Times New Roman" w:hAnsi="Times New Roman" w:cs="Times New Roman"/>
              </w:rPr>
            </w:pPr>
          </w:p>
        </w:tc>
        <w:tc>
          <w:tcPr>
            <w:tcW w:w="759" w:type="pct"/>
            <w:vMerge w:val="continue"/>
            <w:vAlign w:val="center"/>
          </w:tcPr>
          <w:p>
            <w:pPr>
              <w:pStyle w:val="26"/>
              <w:jc w:val="center"/>
              <w:rPr>
                <w:rFonts w:ascii="Times New Roman" w:hAnsi="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0" w:type="pct"/>
            <w:gridSpan w:val="2"/>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生活垃圾</w:t>
            </w:r>
          </w:p>
        </w:tc>
        <w:tc>
          <w:tcPr>
            <w:tcW w:w="575" w:type="pc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4.125</w:t>
            </w:r>
          </w:p>
        </w:tc>
        <w:tc>
          <w:tcPr>
            <w:tcW w:w="826" w:type="pc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环卫部门定期清运</w:t>
            </w:r>
          </w:p>
        </w:tc>
        <w:tc>
          <w:tcPr>
            <w:tcW w:w="651" w:type="pc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生活垃圾</w:t>
            </w:r>
          </w:p>
        </w:tc>
        <w:tc>
          <w:tcPr>
            <w:tcW w:w="537" w:type="pc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4.125</w:t>
            </w:r>
          </w:p>
        </w:tc>
        <w:tc>
          <w:tcPr>
            <w:tcW w:w="819" w:type="pc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环卫部门定期清运</w:t>
            </w:r>
          </w:p>
        </w:tc>
        <w:tc>
          <w:tcPr>
            <w:tcW w:w="759" w:type="pct"/>
            <w:vAlign w:val="center"/>
          </w:tcPr>
          <w:p>
            <w:pPr>
              <w:pStyle w:val="26"/>
              <w:jc w:val="center"/>
              <w:rPr>
                <w:rFonts w:ascii="Times New Roman" w:hAnsi="Times New Roman" w:cs="Times New Roman"/>
                <w:kern w:val="2"/>
                <w:sz w:val="21"/>
                <w:szCs w:val="21"/>
              </w:rPr>
            </w:pPr>
            <w:r>
              <w:rPr>
                <w:rFonts w:hint="eastAsia" w:ascii="Times New Roman" w:hAnsi="Times New Roman" w:cs="Times New Roman"/>
                <w:kern w:val="2"/>
                <w:sz w:val="21"/>
                <w:szCs w:val="21"/>
              </w:rPr>
              <w:t>无变化</w:t>
            </w:r>
          </w:p>
        </w:tc>
      </w:tr>
    </w:tbl>
    <w:p>
      <w:pPr>
        <w:pStyle w:val="23"/>
        <w:spacing w:line="360" w:lineRule="auto"/>
        <w:contextualSpacing/>
        <w:rPr>
          <w:b/>
          <w:bCs/>
          <w:color w:val="000000" w:themeColor="text1"/>
          <w14:textFill>
            <w14:solidFill>
              <w14:schemeClr w14:val="tx1"/>
            </w14:solidFill>
          </w14:textFill>
        </w:rPr>
      </w:pPr>
    </w:p>
    <w:tbl>
      <w:tblPr>
        <w:tblStyle w:val="39"/>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56"/>
        <w:gridCol w:w="4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28" w:hRule="atLeast"/>
        </w:trPr>
        <w:tc>
          <w:tcPr>
            <w:tcW w:w="4456" w:type="dxa"/>
            <w:tcBorders>
              <w:top w:val="thickThinSmallGap" w:color="auto" w:sz="12" w:space="0"/>
            </w:tcBorders>
            <w:vAlign w:val="center"/>
          </w:tcPr>
          <w:p>
            <w:pPr>
              <w:pStyle w:val="23"/>
              <w:jc w:val="center"/>
              <w:rPr>
                <w:kern w:val="0"/>
                <w:sz w:val="20"/>
              </w:rPr>
            </w:pPr>
            <w:r>
              <w:drawing>
                <wp:anchor distT="0" distB="0" distL="114300" distR="114300" simplePos="0" relativeHeight="251672576" behindDoc="1" locked="0" layoutInCell="1" allowOverlap="1">
                  <wp:simplePos x="0" y="0"/>
                  <wp:positionH relativeFrom="column">
                    <wp:posOffset>14605</wp:posOffset>
                  </wp:positionH>
                  <wp:positionV relativeFrom="paragraph">
                    <wp:posOffset>56515</wp:posOffset>
                  </wp:positionV>
                  <wp:extent cx="2663825" cy="3148330"/>
                  <wp:effectExtent l="0" t="0" r="3175" b="13970"/>
                  <wp:wrapNone/>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38"/>
                          <a:stretch>
                            <a:fillRect/>
                          </a:stretch>
                        </pic:blipFill>
                        <pic:spPr>
                          <a:xfrm>
                            <a:off x="0" y="0"/>
                            <a:ext cx="2663825" cy="3148330"/>
                          </a:xfrm>
                          <a:prstGeom prst="rect">
                            <a:avLst/>
                          </a:prstGeom>
                          <a:noFill/>
                          <a:ln>
                            <a:noFill/>
                          </a:ln>
                        </pic:spPr>
                      </pic:pic>
                    </a:graphicData>
                  </a:graphic>
                </wp:anchor>
              </w:drawing>
            </w:r>
          </w:p>
        </w:tc>
        <w:tc>
          <w:tcPr>
            <w:tcW w:w="4239" w:type="dxa"/>
            <w:tcBorders>
              <w:top w:val="thickThinSmallGap" w:color="auto" w:sz="12" w:space="0"/>
            </w:tcBorders>
            <w:vAlign w:val="center"/>
          </w:tcPr>
          <w:p>
            <w:pPr>
              <w:pStyle w:val="23"/>
              <w:jc w:val="right"/>
              <w:rPr>
                <w:rFonts w:hint="eastAsia" w:eastAsia="宋体"/>
                <w:kern w:val="0"/>
                <w:sz w:val="20"/>
                <w:lang w:eastAsia="zh-CN"/>
              </w:rPr>
            </w:pPr>
            <w:r>
              <w:rPr>
                <w:rFonts w:hint="eastAsia" w:eastAsia="宋体"/>
                <w:kern w:val="0"/>
                <w:sz w:val="20"/>
                <w:lang w:eastAsia="zh-CN"/>
              </w:rPr>
              <w:drawing>
                <wp:anchor distT="0" distB="0" distL="114300" distR="114300" simplePos="0" relativeHeight="251710464" behindDoc="1" locked="0" layoutInCell="1" allowOverlap="1">
                  <wp:simplePos x="0" y="0"/>
                  <wp:positionH relativeFrom="column">
                    <wp:posOffset>1905</wp:posOffset>
                  </wp:positionH>
                  <wp:positionV relativeFrom="paragraph">
                    <wp:posOffset>66040</wp:posOffset>
                  </wp:positionV>
                  <wp:extent cx="2548890" cy="3140710"/>
                  <wp:effectExtent l="0" t="0" r="3810" b="2540"/>
                  <wp:wrapNone/>
                  <wp:docPr id="77" name="图片 77" descr="4127dfaa86d4f6d312191173b053e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4127dfaa86d4f6d312191173b053e30"/>
                          <pic:cNvPicPr>
                            <a:picLocks noChangeAspect="1"/>
                          </pic:cNvPicPr>
                        </pic:nvPicPr>
                        <pic:blipFill>
                          <a:blip r:embed="rId39"/>
                          <a:stretch>
                            <a:fillRect/>
                          </a:stretch>
                        </pic:blipFill>
                        <pic:spPr>
                          <a:xfrm>
                            <a:off x="0" y="0"/>
                            <a:ext cx="2548890" cy="3140710"/>
                          </a:xfrm>
                          <a:prstGeom prst="rect">
                            <a:avLst/>
                          </a:prstGeom>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8695" w:type="dxa"/>
            <w:gridSpan w:val="2"/>
            <w:vAlign w:val="center"/>
          </w:tcPr>
          <w:p>
            <w:pPr>
              <w:pStyle w:val="23"/>
              <w:spacing w:after="0" w:line="360" w:lineRule="auto"/>
              <w:jc w:val="center"/>
              <w:rPr>
                <w:b/>
              </w:rPr>
            </w:pPr>
            <w:r>
              <w:rPr>
                <w:b/>
                <w:bCs/>
              </w:rPr>
              <w:t>图4.1-</w:t>
            </w:r>
            <w:r>
              <w:rPr>
                <w:rFonts w:hint="eastAsia"/>
                <w:b/>
                <w:bCs/>
                <w:lang w:val="en-US" w:eastAsia="zh-CN"/>
              </w:rPr>
              <w:t>2</w:t>
            </w:r>
            <w:r>
              <w:rPr>
                <w:b/>
                <w:bCs/>
              </w:rPr>
              <w:t>危废暂存库</w:t>
            </w:r>
          </w:p>
        </w:tc>
      </w:tr>
    </w:tbl>
    <w:p>
      <w:pPr>
        <w:pStyle w:val="11"/>
      </w:pPr>
      <w:bookmarkStart w:id="51" w:name="_Toc27356"/>
      <w:r>
        <w:t>4.1.5 噪声</w:t>
      </w:r>
      <w:bookmarkEnd w:id="51"/>
    </w:p>
    <w:p>
      <w:pPr>
        <w:pStyle w:val="84"/>
        <w:spacing w:line="360" w:lineRule="auto"/>
        <w:ind w:right="86" w:rightChars="41" w:firstLine="240" w:firstLineChars="100"/>
        <w:contextualSpacing/>
        <w:rPr>
          <w:color w:val="000000"/>
          <w:sz w:val="24"/>
          <w:szCs w:val="24"/>
        </w:rPr>
      </w:pPr>
      <w:r>
        <w:rPr>
          <w:sz w:val="24"/>
          <w:szCs w:val="24"/>
        </w:rPr>
        <w:t>项目主要噪声源为</w:t>
      </w:r>
      <w:r>
        <w:rPr>
          <w:rFonts w:hint="eastAsia"/>
          <w:sz w:val="24"/>
          <w:szCs w:val="24"/>
        </w:rPr>
        <w:t>为循环泵、打料泵、风机、离心机、输送泵、空压机等设备。</w:t>
      </w:r>
      <w:r>
        <w:rPr>
          <w:rFonts w:hint="eastAsia"/>
          <w:color w:val="000000"/>
          <w:sz w:val="24"/>
          <w:szCs w:val="24"/>
        </w:rPr>
        <w:t>为改善生产环境，减少噪声对周围环境的影响，对主要设备噪声污染控制采取以下措施：</w:t>
      </w:r>
    </w:p>
    <w:p>
      <w:pPr>
        <w:pStyle w:val="84"/>
        <w:numPr>
          <w:ilvl w:val="0"/>
          <w:numId w:val="3"/>
        </w:numPr>
        <w:spacing w:line="360" w:lineRule="auto"/>
        <w:ind w:right="86" w:rightChars="41" w:firstLine="480"/>
        <w:contextualSpacing/>
        <w:rPr>
          <w:color w:val="000000"/>
          <w:sz w:val="24"/>
          <w:szCs w:val="24"/>
        </w:rPr>
      </w:pPr>
      <w:r>
        <w:rPr>
          <w:rFonts w:hint="eastAsia"/>
          <w:color w:val="000000"/>
          <w:sz w:val="24"/>
          <w:szCs w:val="24"/>
        </w:rPr>
        <w:t>尽可能选用低噪声设备</w:t>
      </w:r>
      <w:r>
        <w:rPr>
          <w:rFonts w:hint="eastAsia"/>
          <w:color w:val="000000"/>
          <w:sz w:val="24"/>
          <w:szCs w:val="24"/>
          <w:highlight w:val="none"/>
        </w:rPr>
        <w:t>。</w:t>
      </w:r>
    </w:p>
    <w:p>
      <w:pPr>
        <w:pStyle w:val="84"/>
        <w:numPr>
          <w:ilvl w:val="0"/>
          <w:numId w:val="3"/>
        </w:numPr>
        <w:spacing w:line="360" w:lineRule="auto"/>
        <w:ind w:right="86" w:rightChars="41" w:firstLine="480"/>
        <w:contextualSpacing/>
        <w:rPr>
          <w:color w:val="000000"/>
          <w:sz w:val="24"/>
          <w:szCs w:val="24"/>
        </w:rPr>
      </w:pPr>
      <w:r>
        <w:rPr>
          <w:rFonts w:hint="eastAsia"/>
          <w:color w:val="000000"/>
          <w:sz w:val="24"/>
          <w:szCs w:val="24"/>
        </w:rPr>
        <w:t>在设备、管道安装设计中，应注意隔震、防震、减震、防冲击。</w:t>
      </w:r>
    </w:p>
    <w:p>
      <w:pPr>
        <w:pStyle w:val="84"/>
        <w:numPr>
          <w:ilvl w:val="0"/>
          <w:numId w:val="3"/>
        </w:numPr>
        <w:spacing w:line="360" w:lineRule="auto"/>
        <w:ind w:right="86" w:rightChars="41" w:firstLine="480"/>
        <w:contextualSpacing/>
        <w:rPr>
          <w:color w:val="000000"/>
          <w:sz w:val="24"/>
          <w:szCs w:val="24"/>
        </w:rPr>
      </w:pPr>
      <w:r>
        <w:rPr>
          <w:rFonts w:hint="eastAsia"/>
          <w:color w:val="000000"/>
          <w:sz w:val="24"/>
          <w:szCs w:val="24"/>
        </w:rPr>
        <w:t>在厂区总体布置中统筹规划，合理布局厂前、生活和生产区，注重强噪声源的间距。</w:t>
      </w:r>
    </w:p>
    <w:p>
      <w:pPr>
        <w:pStyle w:val="84"/>
        <w:numPr>
          <w:ilvl w:val="0"/>
          <w:numId w:val="3"/>
        </w:numPr>
        <w:spacing w:line="360" w:lineRule="auto"/>
        <w:ind w:right="86" w:rightChars="41" w:firstLine="480"/>
        <w:contextualSpacing/>
        <w:rPr>
          <w:color w:val="000000"/>
          <w:sz w:val="24"/>
          <w:szCs w:val="24"/>
        </w:rPr>
      </w:pPr>
      <w:r>
        <w:rPr>
          <w:rFonts w:hint="eastAsia"/>
          <w:color w:val="000000"/>
          <w:sz w:val="24"/>
          <w:szCs w:val="24"/>
        </w:rPr>
        <w:t>厂区合理布局，噪声源尽量远离办公区。高噪声设备周边厂界设置绿化带。</w:t>
      </w:r>
    </w:p>
    <w:p>
      <w:pPr>
        <w:spacing w:line="360" w:lineRule="auto"/>
        <w:contextualSpacing/>
        <w:outlineLvl w:val="1"/>
        <w:rPr>
          <w:rStyle w:val="59"/>
        </w:rPr>
      </w:pPr>
      <w:bookmarkStart w:id="52" w:name="_Toc20284"/>
      <w:r>
        <w:rPr>
          <w:rStyle w:val="59"/>
        </w:rPr>
        <w:t>4.2 其他环保设施</w:t>
      </w:r>
      <w:bookmarkEnd w:id="52"/>
    </w:p>
    <w:p>
      <w:pPr>
        <w:pStyle w:val="11"/>
        <w:rPr>
          <w:rStyle w:val="60"/>
          <w:b w:val="0"/>
          <w:bCs w:val="0"/>
        </w:rPr>
      </w:pPr>
      <w:bookmarkStart w:id="53" w:name="_Toc18771"/>
      <w:r>
        <w:t>4.2.1环境风险防范设施</w:t>
      </w:r>
      <w:bookmarkEnd w:id="53"/>
    </w:p>
    <w:p>
      <w:pPr>
        <w:pStyle w:val="23"/>
        <w:tabs>
          <w:tab w:val="left" w:pos="3231"/>
        </w:tabs>
        <w:spacing w:after="0" w:line="360" w:lineRule="auto"/>
        <w:ind w:firstLine="482"/>
        <w:contextualSpacing/>
        <w:rPr>
          <w:b/>
          <w:bCs/>
          <w:sz w:val="24"/>
          <w:szCs w:val="24"/>
        </w:rPr>
      </w:pPr>
      <w:r>
        <w:rPr>
          <w:b/>
          <w:bCs/>
          <w:sz w:val="24"/>
          <w:szCs w:val="24"/>
        </w:rPr>
        <w:t>1、各类设施防渗核查</w:t>
      </w:r>
      <w:r>
        <w:rPr>
          <w:b/>
          <w:bCs/>
          <w:sz w:val="24"/>
          <w:szCs w:val="24"/>
        </w:rPr>
        <w:tab/>
      </w:r>
    </w:p>
    <w:p>
      <w:pPr>
        <w:pStyle w:val="23"/>
        <w:spacing w:after="0" w:line="360" w:lineRule="auto"/>
        <w:ind w:firstLine="480" w:firstLineChars="200"/>
        <w:contextualSpacing/>
        <w:rPr>
          <w:sz w:val="24"/>
          <w:szCs w:val="24"/>
        </w:rPr>
      </w:pPr>
      <w:r>
        <w:rPr>
          <w:sz w:val="24"/>
          <w:szCs w:val="24"/>
        </w:rPr>
        <w:t>根据</w:t>
      </w:r>
      <w:r>
        <w:rPr>
          <w:rFonts w:hint="eastAsia"/>
          <w:sz w:val="24"/>
          <w:szCs w:val="24"/>
        </w:rPr>
        <w:t>企业提供</w:t>
      </w:r>
      <w:r>
        <w:rPr>
          <w:sz w:val="24"/>
          <w:szCs w:val="24"/>
        </w:rPr>
        <w:t>的防渗证明，</w:t>
      </w:r>
      <w:r>
        <w:rPr>
          <w:rFonts w:hint="eastAsia"/>
          <w:sz w:val="24"/>
          <w:szCs w:val="24"/>
        </w:rPr>
        <w:t>年产10万吨氯化石蜡项目对装置区、罐区</w:t>
      </w:r>
      <w:r>
        <w:rPr>
          <w:sz w:val="24"/>
          <w:szCs w:val="24"/>
        </w:rPr>
        <w:t>等进行了防渗处理，防渗证明见附件。</w:t>
      </w:r>
    </w:p>
    <w:p>
      <w:pPr>
        <w:pStyle w:val="23"/>
        <w:spacing w:after="0" w:line="360" w:lineRule="auto"/>
        <w:ind w:firstLine="482"/>
        <w:contextualSpacing/>
        <w:rPr>
          <w:b/>
          <w:bCs/>
          <w:sz w:val="24"/>
          <w:szCs w:val="24"/>
        </w:rPr>
      </w:pPr>
      <w:r>
        <w:rPr>
          <w:b/>
          <w:bCs/>
          <w:sz w:val="24"/>
          <w:szCs w:val="24"/>
        </w:rPr>
        <w:t>2、导排系统</w:t>
      </w:r>
    </w:p>
    <w:p>
      <w:pPr>
        <w:pStyle w:val="23"/>
        <w:spacing w:after="0" w:line="360" w:lineRule="auto"/>
        <w:ind w:firstLine="480" w:firstLineChars="200"/>
        <w:contextualSpacing/>
        <w:rPr>
          <w:sz w:val="24"/>
          <w:szCs w:val="24"/>
        </w:rPr>
      </w:pPr>
      <w:r>
        <w:rPr>
          <w:sz w:val="24"/>
          <w:szCs w:val="24"/>
        </w:rPr>
        <w:t>项目厂区设置雨污分流，</w:t>
      </w:r>
      <w:r>
        <w:rPr>
          <w:sz w:val="24"/>
          <w:szCs w:val="24"/>
          <w:highlight w:val="none"/>
        </w:rPr>
        <w:t>对厂区雨水总排口</w:t>
      </w:r>
      <w:r>
        <w:rPr>
          <w:sz w:val="24"/>
          <w:szCs w:val="24"/>
        </w:rPr>
        <w:t>设置了切断措施，主要防控初级雨水、消防污水和物料泄漏。当风险事故发生时，第一时间将事故控制在发生区域内，防止扩散</w:t>
      </w:r>
      <w:r>
        <w:rPr>
          <w:rFonts w:hint="eastAsia"/>
          <w:sz w:val="24"/>
          <w:szCs w:val="24"/>
        </w:rPr>
        <w:t>，</w:t>
      </w:r>
      <w:bookmarkStart w:id="54" w:name="_Hlk171415962"/>
      <w:r>
        <w:rPr>
          <w:rFonts w:hint="eastAsia"/>
          <w:sz w:val="24"/>
          <w:szCs w:val="24"/>
        </w:rPr>
        <w:t>并在潍坊市生态环境局寿光分局备案，备案编号：3</w:t>
      </w:r>
      <w:r>
        <w:rPr>
          <w:sz w:val="24"/>
          <w:szCs w:val="24"/>
        </w:rPr>
        <w:t>70783-202</w:t>
      </w:r>
      <w:r>
        <w:rPr>
          <w:rFonts w:hint="eastAsia"/>
          <w:sz w:val="24"/>
          <w:szCs w:val="24"/>
        </w:rPr>
        <w:t>4</w:t>
      </w:r>
      <w:r>
        <w:rPr>
          <w:sz w:val="24"/>
          <w:szCs w:val="24"/>
        </w:rPr>
        <w:t>-</w:t>
      </w:r>
      <w:r>
        <w:rPr>
          <w:rFonts w:hint="eastAsia"/>
          <w:sz w:val="24"/>
          <w:szCs w:val="24"/>
        </w:rPr>
        <w:t>311</w:t>
      </w:r>
      <w:r>
        <w:rPr>
          <w:sz w:val="24"/>
          <w:szCs w:val="24"/>
        </w:rPr>
        <w:t>-</w:t>
      </w:r>
      <w:r>
        <w:rPr>
          <w:rFonts w:hint="eastAsia"/>
          <w:sz w:val="24"/>
          <w:szCs w:val="24"/>
        </w:rPr>
        <w:t>M</w:t>
      </w:r>
      <w:bookmarkEnd w:id="54"/>
      <w:r>
        <w:rPr>
          <w:rFonts w:hint="eastAsia"/>
          <w:sz w:val="24"/>
          <w:szCs w:val="24"/>
        </w:rPr>
        <w:t>。</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23"/>
              <w:spacing w:line="60" w:lineRule="atLeast"/>
              <w:jc w:val="center"/>
              <w:rPr>
                <w:kern w:val="0"/>
                <w:sz w:val="20"/>
              </w:rPr>
            </w:pPr>
            <w:r>
              <w:drawing>
                <wp:inline distT="0" distB="0" distL="114300" distR="114300">
                  <wp:extent cx="2560955" cy="2647950"/>
                  <wp:effectExtent l="0" t="0" r="10795" b="0"/>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icPr>
                        <pic:blipFill>
                          <a:blip r:embed="rId40"/>
                          <a:stretch>
                            <a:fillRect/>
                          </a:stretch>
                        </pic:blipFill>
                        <pic:spPr>
                          <a:xfrm>
                            <a:off x="0" y="0"/>
                            <a:ext cx="2560955" cy="2647950"/>
                          </a:xfrm>
                          <a:prstGeom prst="rect">
                            <a:avLst/>
                          </a:prstGeom>
                          <a:noFill/>
                          <a:ln>
                            <a:noFill/>
                          </a:ln>
                        </pic:spPr>
                      </pic:pic>
                    </a:graphicData>
                  </a:graphic>
                </wp:inline>
              </w:drawing>
            </w:r>
          </w:p>
        </w:tc>
        <w:tc>
          <w:tcPr>
            <w:tcW w:w="4261" w:type="dxa"/>
          </w:tcPr>
          <w:p>
            <w:pPr>
              <w:pStyle w:val="23"/>
              <w:spacing w:line="60" w:lineRule="atLeast"/>
              <w:jc w:val="center"/>
              <w:rPr>
                <w:kern w:val="0"/>
                <w:sz w:val="20"/>
              </w:rPr>
            </w:pPr>
            <w:r>
              <w:drawing>
                <wp:inline distT="0" distB="0" distL="114300" distR="114300">
                  <wp:extent cx="2567940" cy="2642235"/>
                  <wp:effectExtent l="0" t="0" r="3810" b="5715"/>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41"/>
                          <a:stretch>
                            <a:fillRect/>
                          </a:stretch>
                        </pic:blipFill>
                        <pic:spPr>
                          <a:xfrm>
                            <a:off x="0" y="0"/>
                            <a:ext cx="2567940" cy="264223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2" w:type="dxa"/>
            <w:gridSpan w:val="2"/>
            <w:vAlign w:val="center"/>
          </w:tcPr>
          <w:p>
            <w:pPr>
              <w:pStyle w:val="23"/>
              <w:spacing w:after="0" w:line="360" w:lineRule="auto"/>
              <w:jc w:val="center"/>
              <w:rPr>
                <w:b/>
                <w:bCs/>
              </w:rPr>
            </w:pPr>
            <w:r>
              <w:rPr>
                <w:b/>
                <w:bCs/>
              </w:rPr>
              <w:t>图4.2-1 项目应急事故池</w:t>
            </w:r>
            <w:r>
              <w:rPr>
                <w:rFonts w:hint="eastAsia"/>
                <w:b/>
                <w:bCs/>
              </w:rPr>
              <w:t>（1260</w:t>
            </w:r>
            <w:r>
              <w:rPr>
                <w:b/>
                <w:bCs/>
              </w:rPr>
              <w:t>m</w:t>
            </w:r>
            <w:r>
              <w:rPr>
                <w:b/>
                <w:bCs/>
                <w:vertAlign w:val="superscript"/>
              </w:rPr>
              <w:t>3</w:t>
            </w:r>
            <w:r>
              <w:rPr>
                <w:rFonts w:hint="eastAsia"/>
                <w:b/>
                <w:bCs/>
              </w:rPr>
              <w:t>）</w:t>
            </w:r>
            <w:r>
              <w:rPr>
                <w:b/>
                <w:bCs/>
              </w:rPr>
              <w:t>和切换装置</w:t>
            </w:r>
          </w:p>
        </w:tc>
      </w:tr>
    </w:tbl>
    <w:p>
      <w:pPr>
        <w:pStyle w:val="23"/>
        <w:spacing w:after="0" w:line="360" w:lineRule="auto"/>
        <w:contextualSpacing/>
        <w:outlineLvl w:val="1"/>
        <w:rPr>
          <w:rStyle w:val="59"/>
        </w:rPr>
      </w:pPr>
      <w:bookmarkStart w:id="55" w:name="_Toc29141"/>
      <w:r>
        <w:rPr>
          <w:rStyle w:val="59"/>
        </w:rPr>
        <w:t>4.3 环保设施投资及“三同时”落实情况</w:t>
      </w:r>
      <w:bookmarkEnd w:id="55"/>
    </w:p>
    <w:p>
      <w:pPr>
        <w:pStyle w:val="11"/>
        <w:rPr>
          <w:rStyle w:val="60"/>
          <w:b w:val="0"/>
          <w:bCs w:val="0"/>
        </w:rPr>
      </w:pPr>
      <w:bookmarkStart w:id="56" w:name="_Toc20141"/>
      <w:r>
        <w:t>4.3.1 环保投资核查</w:t>
      </w:r>
      <w:bookmarkEnd w:id="56"/>
    </w:p>
    <w:p>
      <w:pPr>
        <w:pStyle w:val="23"/>
        <w:spacing w:after="0" w:line="360" w:lineRule="auto"/>
        <w:ind w:firstLine="482"/>
        <w:contextualSpacing/>
        <w:rPr>
          <w:sz w:val="24"/>
          <w:szCs w:val="24"/>
        </w:rPr>
      </w:pPr>
      <w:r>
        <w:rPr>
          <w:rFonts w:hint="eastAsia"/>
          <w:sz w:val="24"/>
          <w:szCs w:val="24"/>
        </w:rPr>
        <w:t>年产10万吨氯化石蜡项目</w:t>
      </w:r>
      <w:r>
        <w:rPr>
          <w:sz w:val="24"/>
          <w:szCs w:val="24"/>
        </w:rPr>
        <w:t>总投资</w:t>
      </w:r>
      <w:bookmarkStart w:id="57" w:name="_Hlk171416126"/>
      <w:r>
        <w:rPr>
          <w:rFonts w:hint="eastAsia"/>
          <w:sz w:val="24"/>
          <w:szCs w:val="24"/>
        </w:rPr>
        <w:t>31180</w:t>
      </w:r>
      <w:r>
        <w:rPr>
          <w:sz w:val="24"/>
          <w:szCs w:val="24"/>
        </w:rPr>
        <w:t>万元，其中环保投资约</w:t>
      </w:r>
      <w:r>
        <w:rPr>
          <w:rFonts w:hint="eastAsia"/>
          <w:sz w:val="24"/>
          <w:szCs w:val="24"/>
        </w:rPr>
        <w:t>1200</w:t>
      </w:r>
      <w:r>
        <w:rPr>
          <w:sz w:val="24"/>
          <w:szCs w:val="24"/>
        </w:rPr>
        <w:t>万元</w:t>
      </w:r>
      <w:bookmarkEnd w:id="57"/>
      <w:r>
        <w:rPr>
          <w:sz w:val="24"/>
          <w:szCs w:val="24"/>
        </w:rPr>
        <w:t>，占总投资的</w:t>
      </w:r>
      <w:r>
        <w:rPr>
          <w:rFonts w:hint="eastAsia"/>
          <w:sz w:val="24"/>
          <w:szCs w:val="24"/>
        </w:rPr>
        <w:t>3.85</w:t>
      </w:r>
      <w:r>
        <w:rPr>
          <w:sz w:val="24"/>
          <w:szCs w:val="24"/>
        </w:rPr>
        <w:t>%。项目投资详见表 4.3-1。</w:t>
      </w:r>
    </w:p>
    <w:p>
      <w:pPr>
        <w:pStyle w:val="84"/>
        <w:spacing w:line="360" w:lineRule="auto"/>
        <w:ind w:right="86" w:rightChars="41" w:firstLine="0" w:firstLineChars="0"/>
        <w:contextualSpacing/>
        <w:rPr>
          <w:color w:val="000000"/>
          <w:sz w:val="24"/>
          <w:szCs w:val="24"/>
        </w:rPr>
        <w:sectPr>
          <w:footerReference r:id="rId1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contextualSpacing/>
        <w:jc w:val="center"/>
        <w:rPr>
          <w:b/>
          <w:bCs/>
          <w:color w:val="000000"/>
        </w:rPr>
      </w:pPr>
      <w:r>
        <w:rPr>
          <w:b/>
          <w:bCs/>
          <w:color w:val="000000"/>
        </w:rPr>
        <w:t>表 4.3-1 本项目环保投资一览表</w:t>
      </w:r>
    </w:p>
    <w:tbl>
      <w:tblPr>
        <w:tblStyle w:val="39"/>
        <w:tblW w:w="0" w:type="auto"/>
        <w:tblInd w:w="-189"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 w:type="dxa"/>
          <w:bottom w:w="0" w:type="dxa"/>
          <w:right w:w="10" w:type="dxa"/>
        </w:tblCellMar>
      </w:tblPr>
      <w:tblGrid>
        <w:gridCol w:w="1690"/>
        <w:gridCol w:w="2591"/>
        <w:gridCol w:w="2365"/>
        <w:gridCol w:w="1869"/>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 w:type="dxa"/>
            <w:bottom w:w="0" w:type="dxa"/>
            <w:right w:w="10" w:type="dxa"/>
          </w:tblCellMar>
        </w:tblPrEx>
        <w:trPr>
          <w:trHeight w:val="397" w:hRule="atLeast"/>
        </w:trPr>
        <w:tc>
          <w:tcPr>
            <w:tcW w:w="1690" w:type="dxa"/>
            <w:tcBorders>
              <w:tl2br w:val="nil"/>
              <w:tr2bl w:val="nil"/>
            </w:tcBorders>
            <w:vAlign w:val="center"/>
          </w:tcPr>
          <w:p>
            <w:pPr>
              <w:jc w:val="center"/>
              <w:rPr>
                <w:b/>
                <w:bCs/>
              </w:rPr>
            </w:pPr>
            <w:bookmarkStart w:id="58" w:name="_Toc1543997"/>
            <w:bookmarkStart w:id="59" w:name="_Toc10885"/>
            <w:r>
              <w:rPr>
                <w:b/>
                <w:bCs/>
              </w:rPr>
              <w:t>措施名称</w:t>
            </w:r>
          </w:p>
        </w:tc>
        <w:tc>
          <w:tcPr>
            <w:tcW w:w="2591" w:type="dxa"/>
            <w:tcBorders>
              <w:tl2br w:val="nil"/>
              <w:tr2bl w:val="nil"/>
            </w:tcBorders>
            <w:vAlign w:val="center"/>
          </w:tcPr>
          <w:p>
            <w:pPr>
              <w:jc w:val="center"/>
              <w:rPr>
                <w:b/>
                <w:bCs/>
              </w:rPr>
            </w:pPr>
            <w:r>
              <w:rPr>
                <w:b/>
                <w:bCs/>
              </w:rPr>
              <w:t>主要工程内容</w:t>
            </w:r>
          </w:p>
        </w:tc>
        <w:tc>
          <w:tcPr>
            <w:tcW w:w="2365" w:type="dxa"/>
            <w:tcBorders>
              <w:tl2br w:val="nil"/>
              <w:tr2bl w:val="nil"/>
            </w:tcBorders>
            <w:vAlign w:val="center"/>
          </w:tcPr>
          <w:p>
            <w:pPr>
              <w:jc w:val="center"/>
              <w:rPr>
                <w:b/>
                <w:bCs/>
              </w:rPr>
            </w:pPr>
            <w:r>
              <w:rPr>
                <w:b/>
                <w:bCs/>
              </w:rPr>
              <w:t>措施效果</w:t>
            </w:r>
          </w:p>
        </w:tc>
        <w:tc>
          <w:tcPr>
            <w:tcW w:w="1869" w:type="dxa"/>
            <w:tcBorders>
              <w:tl2br w:val="nil"/>
              <w:tr2bl w:val="nil"/>
            </w:tcBorders>
            <w:vAlign w:val="center"/>
          </w:tcPr>
          <w:p>
            <w:pPr>
              <w:jc w:val="center"/>
              <w:rPr>
                <w:b/>
                <w:bCs/>
              </w:rPr>
            </w:pPr>
            <w:r>
              <w:rPr>
                <w:b/>
                <w:bCs/>
              </w:rPr>
              <w:t>环保投资（万元）</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 w:type="dxa"/>
            <w:bottom w:w="0" w:type="dxa"/>
            <w:right w:w="10" w:type="dxa"/>
          </w:tblCellMar>
        </w:tblPrEx>
        <w:trPr>
          <w:trHeight w:val="397" w:hRule="atLeast"/>
        </w:trPr>
        <w:tc>
          <w:tcPr>
            <w:tcW w:w="1690" w:type="dxa"/>
            <w:tcBorders>
              <w:tl2br w:val="nil"/>
              <w:tr2bl w:val="nil"/>
            </w:tcBorders>
            <w:vAlign w:val="center"/>
          </w:tcPr>
          <w:p>
            <w:pPr>
              <w:jc w:val="center"/>
            </w:pPr>
            <w:r>
              <w:t>污水处理系统</w:t>
            </w:r>
          </w:p>
        </w:tc>
        <w:tc>
          <w:tcPr>
            <w:tcW w:w="2591" w:type="dxa"/>
            <w:tcBorders>
              <w:tl2br w:val="nil"/>
              <w:tr2bl w:val="nil"/>
            </w:tcBorders>
            <w:vAlign w:val="center"/>
          </w:tcPr>
          <w:p>
            <w:pPr>
              <w:jc w:val="center"/>
            </w:pPr>
            <w:r>
              <w:t>污水收集管道、清污分</w:t>
            </w:r>
          </w:p>
          <w:p>
            <w:pPr>
              <w:jc w:val="center"/>
            </w:pPr>
            <w:r>
              <w:t>流、雨污分流</w:t>
            </w:r>
          </w:p>
        </w:tc>
        <w:tc>
          <w:tcPr>
            <w:tcW w:w="2365" w:type="dxa"/>
            <w:tcBorders>
              <w:tl2br w:val="nil"/>
              <w:tr2bl w:val="nil"/>
            </w:tcBorders>
            <w:vAlign w:val="center"/>
          </w:tcPr>
          <w:p>
            <w:pPr>
              <w:jc w:val="center"/>
            </w:pPr>
            <w:r>
              <w:t>达标排放</w:t>
            </w:r>
          </w:p>
        </w:tc>
        <w:tc>
          <w:tcPr>
            <w:tcW w:w="1869" w:type="dxa"/>
            <w:tcBorders>
              <w:tl2br w:val="nil"/>
              <w:tr2bl w:val="nil"/>
            </w:tcBorders>
            <w:vAlign w:val="center"/>
          </w:tcPr>
          <w:p>
            <w:pPr>
              <w:jc w:val="center"/>
            </w:pPr>
            <w:r>
              <w:t>9</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 w:type="dxa"/>
            <w:bottom w:w="0" w:type="dxa"/>
            <w:right w:w="10" w:type="dxa"/>
          </w:tblCellMar>
        </w:tblPrEx>
        <w:trPr>
          <w:trHeight w:val="397" w:hRule="atLeast"/>
        </w:trPr>
        <w:tc>
          <w:tcPr>
            <w:tcW w:w="1690" w:type="dxa"/>
            <w:tcBorders>
              <w:tl2br w:val="nil"/>
              <w:tr2bl w:val="nil"/>
            </w:tcBorders>
            <w:vAlign w:val="center"/>
          </w:tcPr>
          <w:p>
            <w:pPr>
              <w:jc w:val="center"/>
            </w:pPr>
            <w:r>
              <w:t>废气处理系统</w:t>
            </w:r>
          </w:p>
        </w:tc>
        <w:tc>
          <w:tcPr>
            <w:tcW w:w="2591" w:type="dxa"/>
            <w:tcBorders>
              <w:tl2br w:val="nil"/>
              <w:tr2bl w:val="nil"/>
            </w:tcBorders>
            <w:vAlign w:val="center"/>
          </w:tcPr>
          <w:p>
            <w:pPr>
              <w:jc w:val="center"/>
            </w:pPr>
            <w:r>
              <w:t>降膜吸收塔、碱液喷淋吸</w:t>
            </w:r>
          </w:p>
          <w:p>
            <w:pPr>
              <w:jc w:val="center"/>
            </w:pPr>
            <w:r>
              <w:t>收塔、水浴吸收等</w:t>
            </w:r>
          </w:p>
        </w:tc>
        <w:tc>
          <w:tcPr>
            <w:tcW w:w="2365" w:type="dxa"/>
            <w:tcBorders>
              <w:tl2br w:val="nil"/>
              <w:tr2bl w:val="nil"/>
            </w:tcBorders>
            <w:vAlign w:val="center"/>
          </w:tcPr>
          <w:p>
            <w:pPr>
              <w:jc w:val="center"/>
            </w:pPr>
            <w:r>
              <w:t>达标排放</w:t>
            </w:r>
          </w:p>
        </w:tc>
        <w:tc>
          <w:tcPr>
            <w:tcW w:w="1869" w:type="dxa"/>
            <w:tcBorders>
              <w:tl2br w:val="nil"/>
              <w:tr2bl w:val="nil"/>
            </w:tcBorders>
            <w:vAlign w:val="center"/>
          </w:tcPr>
          <w:p>
            <w:pPr>
              <w:jc w:val="center"/>
            </w:pPr>
            <w:r>
              <w:t>600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 w:type="dxa"/>
            <w:bottom w:w="0" w:type="dxa"/>
            <w:right w:w="10" w:type="dxa"/>
          </w:tblCellMar>
        </w:tblPrEx>
        <w:trPr>
          <w:trHeight w:val="397" w:hRule="atLeast"/>
        </w:trPr>
        <w:tc>
          <w:tcPr>
            <w:tcW w:w="1690" w:type="dxa"/>
            <w:tcBorders>
              <w:tl2br w:val="nil"/>
              <w:tr2bl w:val="nil"/>
            </w:tcBorders>
            <w:vAlign w:val="center"/>
          </w:tcPr>
          <w:p>
            <w:pPr>
              <w:jc w:val="center"/>
            </w:pPr>
            <w:r>
              <w:t>固废处置措施</w:t>
            </w:r>
          </w:p>
        </w:tc>
        <w:tc>
          <w:tcPr>
            <w:tcW w:w="2591" w:type="dxa"/>
            <w:tcBorders>
              <w:tl2br w:val="nil"/>
              <w:tr2bl w:val="nil"/>
            </w:tcBorders>
            <w:vAlign w:val="center"/>
          </w:tcPr>
          <w:p>
            <w:pPr>
              <w:jc w:val="center"/>
            </w:pPr>
            <w:r>
              <w:t>设置垃圾桶</w:t>
            </w:r>
          </w:p>
        </w:tc>
        <w:tc>
          <w:tcPr>
            <w:tcW w:w="2365" w:type="dxa"/>
            <w:tcBorders>
              <w:tl2br w:val="nil"/>
              <w:tr2bl w:val="nil"/>
            </w:tcBorders>
            <w:vAlign w:val="center"/>
          </w:tcPr>
          <w:p>
            <w:pPr>
              <w:jc w:val="center"/>
            </w:pPr>
            <w:r>
              <w:t>-</w:t>
            </w:r>
            <w:r>
              <w:rPr>
                <w:rFonts w:hint="eastAsia"/>
              </w:rPr>
              <w:t>-</w:t>
            </w:r>
          </w:p>
        </w:tc>
        <w:tc>
          <w:tcPr>
            <w:tcW w:w="1869" w:type="dxa"/>
            <w:tcBorders>
              <w:tl2br w:val="nil"/>
              <w:tr2bl w:val="nil"/>
            </w:tcBorders>
            <w:vAlign w:val="center"/>
          </w:tcPr>
          <w:p>
            <w:pPr>
              <w:jc w:val="center"/>
            </w:pPr>
            <w: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 w:type="dxa"/>
            <w:bottom w:w="0" w:type="dxa"/>
            <w:right w:w="10" w:type="dxa"/>
          </w:tblCellMar>
        </w:tblPrEx>
        <w:trPr>
          <w:trHeight w:val="397" w:hRule="atLeast"/>
        </w:trPr>
        <w:tc>
          <w:tcPr>
            <w:tcW w:w="1690" w:type="dxa"/>
            <w:tcBorders>
              <w:tl2br w:val="nil"/>
              <w:tr2bl w:val="nil"/>
            </w:tcBorders>
            <w:vAlign w:val="center"/>
          </w:tcPr>
          <w:p>
            <w:pPr>
              <w:jc w:val="center"/>
            </w:pPr>
            <w:r>
              <w:t>噪声控制措施</w:t>
            </w:r>
          </w:p>
        </w:tc>
        <w:tc>
          <w:tcPr>
            <w:tcW w:w="2591" w:type="dxa"/>
            <w:tcBorders>
              <w:tl2br w:val="nil"/>
              <w:tr2bl w:val="nil"/>
            </w:tcBorders>
            <w:vAlign w:val="center"/>
          </w:tcPr>
          <w:p>
            <w:pPr>
              <w:jc w:val="center"/>
            </w:pPr>
            <w:r>
              <w:rPr>
                <w:rFonts w:hint="eastAsia"/>
                <w:lang w:val="en-US" w:eastAsia="zh-CN"/>
              </w:rPr>
              <w:t>选用低噪声、</w:t>
            </w:r>
            <w:r>
              <w:t>隔声等措施</w:t>
            </w:r>
          </w:p>
        </w:tc>
        <w:tc>
          <w:tcPr>
            <w:tcW w:w="2365" w:type="dxa"/>
            <w:tcBorders>
              <w:tl2br w:val="nil"/>
              <w:tr2bl w:val="nil"/>
            </w:tcBorders>
            <w:vAlign w:val="center"/>
          </w:tcPr>
          <w:p>
            <w:pPr>
              <w:jc w:val="center"/>
            </w:pPr>
            <w:r>
              <w:t>做到厂界达标</w:t>
            </w:r>
          </w:p>
        </w:tc>
        <w:tc>
          <w:tcPr>
            <w:tcW w:w="1869" w:type="dxa"/>
            <w:tcBorders>
              <w:tl2br w:val="nil"/>
              <w:tr2bl w:val="nil"/>
            </w:tcBorders>
            <w:vAlign w:val="center"/>
          </w:tcPr>
          <w:p>
            <w:pPr>
              <w:jc w:val="center"/>
            </w:pPr>
            <w:r>
              <w:t>90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 w:type="dxa"/>
            <w:bottom w:w="0" w:type="dxa"/>
            <w:right w:w="10" w:type="dxa"/>
          </w:tblCellMar>
        </w:tblPrEx>
        <w:trPr>
          <w:trHeight w:val="397" w:hRule="atLeast"/>
        </w:trPr>
        <w:tc>
          <w:tcPr>
            <w:tcW w:w="1690" w:type="dxa"/>
            <w:vMerge w:val="restart"/>
            <w:tcBorders>
              <w:tl2br w:val="nil"/>
              <w:tr2bl w:val="nil"/>
            </w:tcBorders>
            <w:vAlign w:val="center"/>
          </w:tcPr>
          <w:p>
            <w:pPr>
              <w:jc w:val="center"/>
            </w:pPr>
            <w:r>
              <w:t>风险控制措施</w:t>
            </w:r>
          </w:p>
        </w:tc>
        <w:tc>
          <w:tcPr>
            <w:tcW w:w="2591" w:type="dxa"/>
            <w:tcBorders>
              <w:tl2br w:val="nil"/>
              <w:tr2bl w:val="nil"/>
            </w:tcBorders>
            <w:vAlign w:val="center"/>
          </w:tcPr>
          <w:p>
            <w:pPr>
              <w:jc w:val="center"/>
            </w:pPr>
            <w:r>
              <w:t>事故水池（依托现有）</w:t>
            </w:r>
          </w:p>
        </w:tc>
        <w:tc>
          <w:tcPr>
            <w:tcW w:w="2365" w:type="dxa"/>
            <w:tcBorders>
              <w:tl2br w:val="nil"/>
              <w:tr2bl w:val="nil"/>
            </w:tcBorders>
            <w:vAlign w:val="center"/>
          </w:tcPr>
          <w:p>
            <w:pPr>
              <w:jc w:val="center"/>
            </w:pPr>
            <w:r>
              <w:t>容纳事故状态下的废水</w:t>
            </w:r>
          </w:p>
        </w:tc>
        <w:tc>
          <w:tcPr>
            <w:tcW w:w="1869" w:type="dxa"/>
            <w:tcBorders>
              <w:tl2br w:val="nil"/>
              <w:tr2bl w:val="nil"/>
            </w:tcBorders>
            <w:vAlign w:val="center"/>
          </w:tcPr>
          <w:p>
            <w:pPr>
              <w:jc w:val="center"/>
            </w:pPr>
            <w:r>
              <w:t>/</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 w:type="dxa"/>
            <w:bottom w:w="0" w:type="dxa"/>
            <w:right w:w="10" w:type="dxa"/>
          </w:tblCellMar>
        </w:tblPrEx>
        <w:trPr>
          <w:trHeight w:val="397" w:hRule="atLeast"/>
        </w:trPr>
        <w:tc>
          <w:tcPr>
            <w:tcW w:w="1690" w:type="dxa"/>
            <w:vMerge w:val="continue"/>
            <w:tcBorders>
              <w:tl2br w:val="nil"/>
              <w:tr2bl w:val="nil"/>
            </w:tcBorders>
            <w:vAlign w:val="center"/>
          </w:tcPr>
          <w:p>
            <w:pPr>
              <w:jc w:val="center"/>
            </w:pPr>
          </w:p>
        </w:tc>
        <w:tc>
          <w:tcPr>
            <w:tcW w:w="2591" w:type="dxa"/>
            <w:tcBorders>
              <w:tl2br w:val="nil"/>
              <w:tr2bl w:val="nil"/>
            </w:tcBorders>
            <w:vAlign w:val="center"/>
          </w:tcPr>
          <w:p>
            <w:pPr>
              <w:jc w:val="center"/>
            </w:pPr>
            <w:r>
              <w:t>围堰、围堤</w:t>
            </w:r>
          </w:p>
        </w:tc>
        <w:tc>
          <w:tcPr>
            <w:tcW w:w="2365" w:type="dxa"/>
            <w:tcBorders>
              <w:tl2br w:val="nil"/>
              <w:tr2bl w:val="nil"/>
            </w:tcBorders>
            <w:vAlign w:val="center"/>
          </w:tcPr>
          <w:p>
            <w:pPr>
              <w:jc w:val="center"/>
            </w:pPr>
            <w:r>
              <w:t>--</w:t>
            </w:r>
          </w:p>
        </w:tc>
        <w:tc>
          <w:tcPr>
            <w:tcW w:w="1869" w:type="dxa"/>
            <w:tcBorders>
              <w:tl2br w:val="nil"/>
              <w:tr2bl w:val="nil"/>
            </w:tcBorders>
            <w:vAlign w:val="center"/>
          </w:tcPr>
          <w:p>
            <w:pPr>
              <w:jc w:val="center"/>
            </w:pPr>
            <w:r>
              <w:t>100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 w:type="dxa"/>
            <w:bottom w:w="0" w:type="dxa"/>
            <w:right w:w="10" w:type="dxa"/>
          </w:tblCellMar>
        </w:tblPrEx>
        <w:trPr>
          <w:trHeight w:val="397" w:hRule="atLeast"/>
        </w:trPr>
        <w:tc>
          <w:tcPr>
            <w:tcW w:w="1690" w:type="dxa"/>
            <w:tcBorders>
              <w:tl2br w:val="nil"/>
              <w:tr2bl w:val="nil"/>
            </w:tcBorders>
            <w:vAlign w:val="center"/>
          </w:tcPr>
          <w:p>
            <w:pPr>
              <w:jc w:val="center"/>
            </w:pPr>
            <w:r>
              <w:t>环境监测</w:t>
            </w:r>
          </w:p>
        </w:tc>
        <w:tc>
          <w:tcPr>
            <w:tcW w:w="2591" w:type="dxa"/>
            <w:tcBorders>
              <w:tl2br w:val="nil"/>
              <w:tr2bl w:val="nil"/>
            </w:tcBorders>
            <w:vAlign w:val="center"/>
          </w:tcPr>
          <w:p>
            <w:pPr>
              <w:jc w:val="center"/>
            </w:pPr>
            <w:r>
              <w:t>环境监测、应急监测设备</w:t>
            </w:r>
          </w:p>
        </w:tc>
        <w:tc>
          <w:tcPr>
            <w:tcW w:w="2365" w:type="dxa"/>
            <w:tcBorders>
              <w:tl2br w:val="nil"/>
              <w:tr2bl w:val="nil"/>
            </w:tcBorders>
            <w:vAlign w:val="center"/>
          </w:tcPr>
          <w:p>
            <w:pPr>
              <w:jc w:val="center"/>
            </w:pPr>
            <w:r>
              <w:t>--</w:t>
            </w:r>
          </w:p>
        </w:tc>
        <w:tc>
          <w:tcPr>
            <w:tcW w:w="1869" w:type="dxa"/>
            <w:tcBorders>
              <w:tl2br w:val="nil"/>
              <w:tr2bl w:val="nil"/>
            </w:tcBorders>
            <w:vAlign w:val="center"/>
          </w:tcPr>
          <w:p>
            <w:pPr>
              <w:jc w:val="center"/>
            </w:pPr>
            <w:r>
              <w:t>100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 w:type="dxa"/>
            <w:bottom w:w="0" w:type="dxa"/>
            <w:right w:w="10" w:type="dxa"/>
          </w:tblCellMar>
        </w:tblPrEx>
        <w:trPr>
          <w:trHeight w:val="397" w:hRule="atLeast"/>
        </w:trPr>
        <w:tc>
          <w:tcPr>
            <w:tcW w:w="1690" w:type="dxa"/>
            <w:tcBorders>
              <w:tl2br w:val="nil"/>
              <w:tr2bl w:val="nil"/>
            </w:tcBorders>
            <w:vAlign w:val="center"/>
          </w:tcPr>
          <w:p>
            <w:pPr>
              <w:jc w:val="center"/>
            </w:pPr>
            <w:r>
              <w:t>地下水防治措施</w:t>
            </w:r>
          </w:p>
        </w:tc>
        <w:tc>
          <w:tcPr>
            <w:tcW w:w="2591" w:type="dxa"/>
            <w:tcBorders>
              <w:tl2br w:val="nil"/>
              <w:tr2bl w:val="nil"/>
            </w:tcBorders>
            <w:vAlign w:val="center"/>
          </w:tcPr>
          <w:p>
            <w:pPr>
              <w:jc w:val="center"/>
            </w:pPr>
            <w:r>
              <w:t>地面硬化、防渗</w:t>
            </w:r>
          </w:p>
        </w:tc>
        <w:tc>
          <w:tcPr>
            <w:tcW w:w="2365" w:type="dxa"/>
            <w:tcBorders>
              <w:tl2br w:val="nil"/>
              <w:tr2bl w:val="nil"/>
            </w:tcBorders>
            <w:vAlign w:val="center"/>
          </w:tcPr>
          <w:p>
            <w:pPr>
              <w:jc w:val="center"/>
            </w:pPr>
            <w:r>
              <w:t>-</w:t>
            </w:r>
            <w:r>
              <w:rPr>
                <w:rFonts w:hint="eastAsia"/>
              </w:rPr>
              <w:t>-</w:t>
            </w:r>
          </w:p>
        </w:tc>
        <w:tc>
          <w:tcPr>
            <w:tcW w:w="1869" w:type="dxa"/>
            <w:tcBorders>
              <w:tl2br w:val="nil"/>
              <w:tr2bl w:val="nil"/>
            </w:tcBorders>
            <w:vAlign w:val="center"/>
          </w:tcPr>
          <w:p>
            <w:pPr>
              <w:jc w:val="center"/>
            </w:pPr>
            <w:r>
              <w:t>200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 w:type="dxa"/>
            <w:bottom w:w="0" w:type="dxa"/>
            <w:right w:w="10" w:type="dxa"/>
          </w:tblCellMar>
        </w:tblPrEx>
        <w:trPr>
          <w:trHeight w:val="397" w:hRule="atLeast"/>
        </w:trPr>
        <w:tc>
          <w:tcPr>
            <w:tcW w:w="1690" w:type="dxa"/>
            <w:tcBorders>
              <w:tl2br w:val="nil"/>
              <w:tr2bl w:val="nil"/>
            </w:tcBorders>
            <w:vAlign w:val="center"/>
          </w:tcPr>
          <w:p>
            <w:pPr>
              <w:jc w:val="center"/>
            </w:pPr>
            <w:r>
              <w:t>绿化</w:t>
            </w:r>
          </w:p>
        </w:tc>
        <w:tc>
          <w:tcPr>
            <w:tcW w:w="2591" w:type="dxa"/>
            <w:tcBorders>
              <w:tl2br w:val="nil"/>
              <w:tr2bl w:val="nil"/>
            </w:tcBorders>
            <w:vAlign w:val="center"/>
          </w:tcPr>
          <w:p>
            <w:pPr>
              <w:jc w:val="center"/>
            </w:pPr>
            <w:r>
              <w:t>区域绿化</w:t>
            </w:r>
          </w:p>
        </w:tc>
        <w:tc>
          <w:tcPr>
            <w:tcW w:w="2365" w:type="dxa"/>
            <w:tcBorders>
              <w:tl2br w:val="nil"/>
              <w:tr2bl w:val="nil"/>
            </w:tcBorders>
            <w:vAlign w:val="center"/>
          </w:tcPr>
          <w:p>
            <w:pPr>
              <w:jc w:val="center"/>
            </w:pPr>
            <w:r>
              <w:t>--</w:t>
            </w:r>
          </w:p>
        </w:tc>
        <w:tc>
          <w:tcPr>
            <w:tcW w:w="1869" w:type="dxa"/>
            <w:tcBorders>
              <w:tl2br w:val="nil"/>
              <w:tr2bl w:val="nil"/>
            </w:tcBorders>
            <w:vAlign w:val="center"/>
          </w:tcPr>
          <w:p>
            <w:pPr>
              <w:jc w:val="center"/>
            </w:pPr>
            <w:r>
              <w:t>100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 w:type="dxa"/>
            <w:bottom w:w="0" w:type="dxa"/>
            <w:right w:w="10" w:type="dxa"/>
          </w:tblCellMar>
        </w:tblPrEx>
        <w:trPr>
          <w:trHeight w:val="397" w:hRule="atLeast"/>
        </w:trPr>
        <w:tc>
          <w:tcPr>
            <w:tcW w:w="6646" w:type="dxa"/>
            <w:gridSpan w:val="3"/>
            <w:tcBorders>
              <w:tl2br w:val="nil"/>
              <w:tr2bl w:val="nil"/>
            </w:tcBorders>
            <w:vAlign w:val="center"/>
          </w:tcPr>
          <w:p>
            <w:pPr>
              <w:jc w:val="center"/>
            </w:pPr>
            <w:r>
              <w:t>合计</w:t>
            </w:r>
          </w:p>
        </w:tc>
        <w:tc>
          <w:tcPr>
            <w:tcW w:w="1869" w:type="dxa"/>
            <w:tcBorders>
              <w:tl2br w:val="nil"/>
              <w:tr2bl w:val="nil"/>
            </w:tcBorders>
            <w:vAlign w:val="center"/>
          </w:tcPr>
          <w:p>
            <w:pPr>
              <w:jc w:val="center"/>
            </w:pPr>
            <w:r>
              <w:t>1200</w:t>
            </w:r>
          </w:p>
        </w:tc>
      </w:tr>
    </w:tbl>
    <w:p>
      <w:pPr>
        <w:pStyle w:val="11"/>
      </w:pPr>
      <w:bookmarkStart w:id="60" w:name="_Toc9474"/>
      <w:r>
        <w:t>4.3.2 环保设施</w:t>
      </w:r>
      <w:r>
        <w:rPr>
          <w:rFonts w:hint="eastAsia" w:ascii="宋体" w:hAnsi="宋体" w:cs="宋体"/>
        </w:rPr>
        <w:t>“三同时”</w:t>
      </w:r>
      <w:r>
        <w:t>落实情况</w:t>
      </w:r>
      <w:bookmarkEnd w:id="58"/>
      <w:bookmarkEnd w:id="60"/>
    </w:p>
    <w:bookmarkEnd w:id="59"/>
    <w:p>
      <w:pPr>
        <w:pStyle w:val="23"/>
        <w:spacing w:after="0" w:line="360" w:lineRule="auto"/>
        <w:ind w:firstLine="482"/>
        <w:contextualSpacing/>
        <w:rPr>
          <w:sz w:val="24"/>
          <w:szCs w:val="24"/>
        </w:rPr>
      </w:pPr>
      <w:r>
        <w:rPr>
          <w:sz w:val="24"/>
          <w:szCs w:val="24"/>
        </w:rPr>
        <w:t>本项目在建设过程中，基本执行了国家有关环保法律法规的要求，按照环评批复要求进行设计、施工和运营，满足了环保设施与主体工程同时设计、同时施工、同时投产使用的</w:t>
      </w:r>
      <w:r>
        <w:rPr>
          <w:rFonts w:hint="eastAsia" w:ascii="宋体" w:hAnsi="宋体" w:cs="宋体"/>
          <w:sz w:val="24"/>
          <w:szCs w:val="24"/>
        </w:rPr>
        <w:t>“三同时”</w:t>
      </w:r>
      <w:r>
        <w:rPr>
          <w:sz w:val="24"/>
          <w:szCs w:val="24"/>
        </w:rPr>
        <w:t>要求。</w:t>
      </w:r>
    </w:p>
    <w:p>
      <w:pPr>
        <w:pStyle w:val="23"/>
        <w:spacing w:after="0" w:line="360" w:lineRule="auto"/>
        <w:ind w:firstLine="482"/>
        <w:contextualSpacing/>
        <w:rPr>
          <w:sz w:val="24"/>
          <w:szCs w:val="24"/>
        </w:rPr>
        <w:sectPr>
          <w:footerReference r:id="rId1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sz w:val="24"/>
          <w:szCs w:val="24"/>
        </w:rPr>
        <w:t>本次验收将实际建设的环境保护措施与环评报告及批复要求的环境保护措施的情况进行对比，分析其执行情况。执行情况见表4.3-2。</w:t>
      </w:r>
    </w:p>
    <w:p>
      <w:pPr>
        <w:jc w:val="center"/>
        <w:rPr>
          <w:b/>
          <w:bCs/>
        </w:rPr>
      </w:pPr>
      <w:r>
        <w:rPr>
          <w:b/>
          <w:bCs/>
        </w:rPr>
        <w:t>表4.3-2环评及环评批复要求</w:t>
      </w:r>
    </w:p>
    <w:tbl>
      <w:tblPr>
        <w:tblStyle w:val="39"/>
        <w:tblW w:w="131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857"/>
        <w:gridCol w:w="6030"/>
        <w:gridCol w:w="123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9" w:hRule="atLeast"/>
          <w:tblHeader/>
          <w:jc w:val="center"/>
        </w:trPr>
        <w:tc>
          <w:tcPr>
            <w:tcW w:w="5857" w:type="dxa"/>
            <w:tcBorders>
              <w:tl2br w:val="nil"/>
              <w:tr2bl w:val="nil"/>
            </w:tcBorders>
            <w:vAlign w:val="center"/>
          </w:tcPr>
          <w:p>
            <w:pPr>
              <w:spacing w:line="360" w:lineRule="auto"/>
              <w:contextualSpacing/>
              <w:jc w:val="center"/>
              <w:rPr>
                <w:b/>
              </w:rPr>
            </w:pPr>
            <w:r>
              <w:rPr>
                <w:b/>
              </w:rPr>
              <w:t>环评批复要求</w:t>
            </w:r>
          </w:p>
        </w:tc>
        <w:tc>
          <w:tcPr>
            <w:tcW w:w="6030" w:type="dxa"/>
            <w:tcBorders>
              <w:tl2br w:val="nil"/>
              <w:tr2bl w:val="nil"/>
            </w:tcBorders>
            <w:vAlign w:val="center"/>
          </w:tcPr>
          <w:p>
            <w:pPr>
              <w:spacing w:line="360" w:lineRule="auto"/>
              <w:contextualSpacing/>
              <w:jc w:val="center"/>
              <w:rPr>
                <w:b/>
              </w:rPr>
            </w:pPr>
            <w:r>
              <w:rPr>
                <w:b/>
              </w:rPr>
              <w:t>项目情况</w:t>
            </w:r>
          </w:p>
        </w:tc>
        <w:tc>
          <w:tcPr>
            <w:tcW w:w="1238" w:type="dxa"/>
            <w:tcBorders>
              <w:tl2br w:val="nil"/>
              <w:tr2bl w:val="nil"/>
            </w:tcBorders>
            <w:vAlign w:val="center"/>
          </w:tcPr>
          <w:p>
            <w:pPr>
              <w:spacing w:line="360" w:lineRule="auto"/>
              <w:contextualSpacing/>
              <w:jc w:val="center"/>
              <w:rPr>
                <w:b/>
              </w:rPr>
            </w:pPr>
            <w:r>
              <w:rPr>
                <w:b/>
              </w:rPr>
              <w:t>落实情况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57" w:type="dxa"/>
            <w:tcBorders>
              <w:tl2br w:val="nil"/>
              <w:tr2bl w:val="nil"/>
            </w:tcBorders>
            <w:vAlign w:val="center"/>
          </w:tcPr>
          <w:p>
            <w:pPr>
              <w:spacing w:line="360" w:lineRule="auto"/>
              <w:contextualSpacing/>
            </w:pPr>
            <w:r>
              <w:t>本项目位于寿光市侯镇化工产业园，金源路以南，丰东路以东，与佰润新材（寿光）有限公司（以下简称佰润新材）共用厂区，项目总投资为32000万元，环保投资1200万元；主要建设装置区2处、原料罐区1座、成品罐区一座、中转泵房1座、生产尾气吸收装置1套，购置氯化塔、反应釜、冷凝器、氯化换热器、降膜吸收器、分离器、精制吹风塔、储罐等主要设备248台（套）．项目建成后，形成年产10万吨氯化石蜡（中长链），副产17万吨31％盐酸和2800吨10％液体次氯酸钠的生产能力。</w:t>
            </w:r>
          </w:p>
          <w:p>
            <w:pPr>
              <w:spacing w:line="360" w:lineRule="auto"/>
              <w:contextualSpacing/>
            </w:pPr>
            <w:r>
              <w:t>该项目已在山东省投资项目在线审批监管平台进行备案（项目代码2211-370783-04-01-924383），在全面落实报告书中提出的各项环保措施后，环境影响和环境风险能够得到缓解或控制</w:t>
            </w:r>
            <w:r>
              <w:rPr>
                <w:rFonts w:hint="eastAsia"/>
              </w:rPr>
              <w:t>。</w:t>
            </w:r>
            <w:r>
              <w:t>我局原则同意环境影响报告书中环境影响评价结论和各项环境保护措施。</w:t>
            </w:r>
          </w:p>
          <w:p>
            <w:pPr>
              <w:pStyle w:val="2"/>
            </w:pPr>
          </w:p>
          <w:p/>
        </w:tc>
        <w:tc>
          <w:tcPr>
            <w:tcW w:w="6030" w:type="dxa"/>
            <w:tcBorders>
              <w:tl2br w:val="nil"/>
              <w:tr2bl w:val="nil"/>
            </w:tcBorders>
            <w:vAlign w:val="center"/>
          </w:tcPr>
          <w:p>
            <w:pPr>
              <w:spacing w:line="360" w:lineRule="auto"/>
              <w:contextualSpacing/>
            </w:pPr>
            <w:r>
              <w:t>本项目位于寿光市侯镇化工产业园，金源路以南，丰东路以东，与佰润新材（寿光）有限公司（以下简称佰润新材）共用厂区，项目总投资为</w:t>
            </w:r>
            <w:r>
              <w:rPr>
                <w:rFonts w:hint="eastAsia"/>
              </w:rPr>
              <w:t>31180</w:t>
            </w:r>
            <w:r>
              <w:t>万元，环保投资1200万元；主要建设装置区2处、原料罐区1座、成品罐区一座、中转泵房1座、生产尾气吸收装置1套，购置氯化塔、反应釜、冷凝器、氯化换热器、降膜吸收器、分离器、精制吹风塔、储罐等主要设备248台（套）．项目建成后，形成年产10万吨氯化石蜡（中长链），副产17万吨31％盐酸和2800吨10％液体次氯酸钠的生产能力。</w:t>
            </w:r>
          </w:p>
          <w:p>
            <w:pPr>
              <w:spacing w:line="360" w:lineRule="auto"/>
              <w:contextualSpacing/>
            </w:pPr>
            <w:r>
              <w:t>该项目已在山东省投资项目在线审批监管平台进行备案（项目代码2211-370783-04-01-924383），在全面落实报告书中提出的各项环保措施后，环境影响和环境风险能够得到缓解或控制</w:t>
            </w:r>
            <w:r>
              <w:rPr>
                <w:rFonts w:hint="eastAsia"/>
              </w:rPr>
              <w:t>。</w:t>
            </w:r>
            <w:r>
              <w:t>我局原则同意环境影响报告书中环境影响评价结论和各项环境保护措施。</w:t>
            </w:r>
          </w:p>
          <w:p>
            <w:pPr>
              <w:spacing w:line="360" w:lineRule="auto"/>
              <w:contextualSpacing/>
              <w:jc w:val="center"/>
              <w:rPr>
                <w:color w:val="000000"/>
                <w:highlight w:val="yellow"/>
              </w:rPr>
            </w:pPr>
          </w:p>
        </w:tc>
        <w:tc>
          <w:tcPr>
            <w:tcW w:w="1238" w:type="dxa"/>
            <w:tcBorders>
              <w:tl2br w:val="nil"/>
              <w:tr2bl w:val="nil"/>
            </w:tcBorders>
            <w:vAlign w:val="center"/>
          </w:tcPr>
          <w:p>
            <w:pPr>
              <w:spacing w:line="360" w:lineRule="auto"/>
              <w:contextualSpacing/>
              <w:jc w:val="center"/>
            </w:pPr>
            <w:r>
              <w:t>落实</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857" w:type="dxa"/>
            <w:tcBorders>
              <w:tl2br w:val="nil"/>
              <w:tr2bl w:val="nil"/>
            </w:tcBorders>
            <w:vAlign w:val="center"/>
          </w:tcPr>
          <w:p>
            <w:pPr>
              <w:spacing w:line="360" w:lineRule="auto"/>
              <w:contextualSpacing/>
            </w:pPr>
            <w:r>
              <w:rPr>
                <w:rFonts w:hint="eastAsia"/>
              </w:rPr>
              <w:t>项目在设计、建设、运营和环境管理中，要认真落实环境影响报告书提出的各项污染防治措施、严格执行环保“三同时”制度，确保污染物稳定达标排放：</w:t>
            </w:r>
          </w:p>
          <w:p>
            <w:pPr>
              <w:spacing w:line="360" w:lineRule="auto"/>
              <w:contextualSpacing/>
              <w:rPr>
                <w:color w:val="auto"/>
              </w:rPr>
            </w:pPr>
            <w:r>
              <w:rPr>
                <w:rFonts w:hint="eastAsia"/>
              </w:rPr>
              <w:t>1、按照“清污分流、雨污分流、分类收集、分质处理”的原则建设排水系统，本项目无生产废水排放，蒸汽冷凝水回用于氯化氢气体吸收用水；初期雨水排入初期雨水收集</w:t>
            </w:r>
            <w:r>
              <w:rPr>
                <w:rFonts w:hint="eastAsia"/>
                <w:color w:val="auto"/>
              </w:rPr>
              <w:t>池，经絮凝沉淀后全部回用于生产装置盐酸精制氯化氢气体吸收用水；生活污水经化粪池处理后由环卫部门清掏，不外排。</w:t>
            </w:r>
          </w:p>
          <w:p>
            <w:pPr>
              <w:spacing w:line="360" w:lineRule="auto"/>
              <w:contextualSpacing/>
            </w:pPr>
            <w:r>
              <w:rPr>
                <w:rFonts w:hint="eastAsia"/>
              </w:rPr>
              <w:t>严格按照有关设计规范和技术导则，落实好报告书中提出的分区防渗要求，强化废水的导排、暂存、处理等环节的重点防渗措施及其他部位的防渗措施，防止对周边土壤和地下水造成影响。按要求设置地下水跟踪监测井，开展动态监测。</w:t>
            </w:r>
          </w:p>
          <w:p>
            <w:pPr>
              <w:spacing w:line="360" w:lineRule="auto"/>
              <w:contextualSpacing/>
            </w:pPr>
            <w:r>
              <w:rPr>
                <w:rFonts w:hint="eastAsia"/>
              </w:rPr>
              <w:t>2、落实报告书中提出的各项废气处理措施。根据各类工艺废气污染物的性质，分别采用“气液分离＋两级副釜＋两级冷却＋降膜吸收＋碱液吸收、降膜吸收＋碱液吸收、水浴吸收”等处理方式处理后经排气筒排放，处理设施的处理能力、效率应满足需要，排气简高度须符合有关标准和要求。以上废气排放须满足《石油化学工业污染物排放标准》（GB31571-2015）、《挥发性有机物排放标准 第6部分：有机化工行业》（DB37</w:t>
            </w:r>
            <w:r>
              <w:rPr>
                <w:rFonts w:hint="eastAsia"/>
                <w:lang w:val="en-US" w:eastAsia="zh-CN"/>
              </w:rPr>
              <w:t>/</w:t>
            </w:r>
            <w:r>
              <w:rPr>
                <w:rFonts w:hint="eastAsia"/>
              </w:rPr>
              <w:t>2801.6-2018）、《大气污染物综合排放标准》（GB16297-1996）要求。</w:t>
            </w:r>
          </w:p>
          <w:p>
            <w:pPr>
              <w:spacing w:line="360" w:lineRule="auto"/>
              <w:contextualSpacing/>
            </w:pPr>
            <w:r>
              <w:rPr>
                <w:rFonts w:hint="eastAsia"/>
              </w:rPr>
              <w:t>环保设施处理效率应满足要求；项目须规范设置有组织废气监测孔、永久采样平合，须按照相关规定在关键点位安装工业企业用电量智能监控系统，并与生态环境部门联网。</w:t>
            </w:r>
          </w:p>
          <w:p>
            <w:pPr>
              <w:spacing w:line="360" w:lineRule="auto"/>
              <w:contextualSpacing/>
            </w:pPr>
            <w:r>
              <w:rPr>
                <w:rFonts w:hint="eastAsia"/>
              </w:rPr>
              <w:t>项目要加强废气高效收集处理及环保设施运行管理，做好生产车间密闭、定期对装置区潜在泄漏点进行检测等工作，确保项目无组织废气排放满足《石油化学工业污染物排放标准》（GB31571-2015）、《挥发性有机物排放标准 第6部分：有机化工行业》（DB37</w:t>
            </w:r>
            <w:r>
              <w:rPr>
                <w:rFonts w:hint="eastAsia"/>
                <w:lang w:val="en-US" w:eastAsia="zh-CN"/>
              </w:rPr>
              <w:t>/</w:t>
            </w:r>
            <w:r>
              <w:rPr>
                <w:rFonts w:hint="eastAsia"/>
              </w:rPr>
              <w:t>2801.6-2018）、《挥发性有机物无组织排放控制标准》（GB37822-2019）、《大气污染物综合排放标准》（GB16297-1996）要求。</w:t>
            </w:r>
          </w:p>
          <w:p>
            <w:pPr>
              <w:spacing w:line="360" w:lineRule="auto"/>
              <w:contextualSpacing/>
            </w:pPr>
            <w:r>
              <w:rPr>
                <w:rFonts w:hint="eastAsia"/>
              </w:rPr>
              <w:t>3、落实好报告书中各项降噪措施，采取选用低噪声设备、生产设备安装于车间、安装消声器等措施，确保厂界噪声满足《工业企业厂界环境噪声排放标准》（GB12348-2008）中3类标准要求．</w:t>
            </w:r>
          </w:p>
          <w:p>
            <w:pPr>
              <w:spacing w:line="360" w:lineRule="auto"/>
              <w:contextualSpacing/>
            </w:pPr>
            <w:r>
              <w:rPr>
                <w:rFonts w:hint="eastAsia"/>
              </w:rPr>
              <w:t>4、按固体废物“资源化、减量化、无害化”处置原则，落实各类固体废物的收集、综合利用和处置措施。按照《中华人民共和国固体废物污染环境防治法》、《危险废物贮存污染控制标准》（GB 18597-2023）要求规范设置固废、危废暂存场所。本项目产生的生活垃圾集中收集至垃圾桶内暂存，由环卫部门统一清运处理，做到日产日清，不会对周围环境造成影响；设备维护过程产生的废机油桶及废机油是危险废物，收集暂存于危废暂存场所内，委托有资质的单位进行处置；危险废物严格执行《危险废物转移管理办法》，生产中若发现报告书中未识别的危险废物，应按照危险废物进行管理。</w:t>
            </w:r>
          </w:p>
          <w:p>
            <w:pPr>
              <w:spacing w:line="360" w:lineRule="auto"/>
              <w:contextualSpacing/>
            </w:pPr>
            <w:r>
              <w:rPr>
                <w:rFonts w:hint="eastAsia"/>
              </w:rPr>
              <w:t>5、项目排入外环境的主要污染物总量须控制在总量确认书SGZL（2023）40号确定范围内。</w:t>
            </w:r>
          </w:p>
          <w:p>
            <w:pPr>
              <w:spacing w:line="360" w:lineRule="auto"/>
              <w:contextualSpacing/>
            </w:pPr>
            <w:r>
              <w:rPr>
                <w:rFonts w:hint="eastAsia"/>
              </w:rPr>
              <w:t>6、落实好报告书中提出的环境管理、环境监测计划，定期进行环境监测、动态跟踪监测，规范设置有组织废气永久采样孔、采样监测平台，规范污水排放口和危险废物暂存间，并设立标志牌。</w:t>
            </w:r>
          </w:p>
          <w:p>
            <w:pPr>
              <w:spacing w:line="360" w:lineRule="auto"/>
              <w:contextualSpacing/>
            </w:pPr>
            <w:r>
              <w:rPr>
                <w:rFonts w:hint="eastAsia"/>
              </w:rPr>
              <w:t>7、严格落实各项环境风险防范措施，制定突发环境事件应急预案并纳入区域环境风险应急联动机制。配备必要的应急设备，定期开展环境风险应急培训和演练，加强员工环境风险防范安全教育，切实提高事故应急处理及防范能力。</w:t>
            </w:r>
          </w:p>
          <w:p>
            <w:pPr>
              <w:spacing w:line="360" w:lineRule="auto"/>
              <w:contextualSpacing/>
              <w:rPr>
                <w:color w:val="000000"/>
              </w:rPr>
            </w:pPr>
            <w:r>
              <w:rPr>
                <w:rFonts w:hint="eastAsia"/>
              </w:rPr>
              <w:t>8、定期对环保设施开展安全风险评估，健全内部管理责任制度，严格依据标准规范建设环保设施，采取得力措施避免安全事故发生。</w:t>
            </w:r>
          </w:p>
        </w:tc>
        <w:tc>
          <w:tcPr>
            <w:tcW w:w="6030" w:type="dxa"/>
            <w:tcBorders>
              <w:tl2br w:val="nil"/>
              <w:tr2bl w:val="nil"/>
            </w:tcBorders>
            <w:vAlign w:val="center"/>
          </w:tcPr>
          <w:p>
            <w:pPr>
              <w:spacing w:line="360" w:lineRule="auto"/>
              <w:contextualSpacing/>
            </w:pPr>
            <w:r>
              <w:rPr>
                <w:rFonts w:hint="eastAsia"/>
              </w:rPr>
              <w:t>1、项目工艺不产生废水，主要废水为初期雨水、蒸汽冷凝水和生活污水。初期雨水排入初期雨水收集池，处理达标后作为盐酸吸收用水回用，不</w:t>
            </w:r>
            <w:r>
              <w:rPr>
                <w:rFonts w:hint="eastAsia"/>
                <w:color w:val="auto"/>
              </w:rPr>
              <w:t>外排；蒸汽冷凝水无杂质，收集后作为盐酸吸收用水回用，不外排；生活污水经化粪池</w:t>
            </w:r>
            <w:r>
              <w:rPr>
                <w:rFonts w:hint="eastAsia"/>
              </w:rPr>
              <w:t>处理后由环卫清掏，不外排。</w:t>
            </w:r>
          </w:p>
          <w:p>
            <w:pPr>
              <w:spacing w:line="360" w:lineRule="auto"/>
              <w:contextualSpacing/>
            </w:pPr>
            <w:r>
              <w:t>2、</w:t>
            </w:r>
            <w:r>
              <w:rPr>
                <w:rFonts w:hint="eastAsia"/>
              </w:rPr>
              <w:t>氯化反应工序产</w:t>
            </w:r>
            <w:r>
              <w:t>生的</w:t>
            </w:r>
            <w:r>
              <w:rPr>
                <w:rFonts w:hint="eastAsia"/>
              </w:rPr>
              <w:t>氯气</w:t>
            </w:r>
            <w:r>
              <w:t>、</w:t>
            </w:r>
            <w:r>
              <w:rPr>
                <w:rFonts w:hint="eastAsia"/>
              </w:rPr>
              <w:t>氯化氢</w:t>
            </w:r>
            <w:r>
              <w:t xml:space="preserve">、VOCs </w:t>
            </w:r>
            <w:r>
              <w:rPr>
                <w:rFonts w:hint="eastAsia"/>
              </w:rPr>
              <w:t>（以非甲烷总烃计）经气液分离+两级副釜+两级冷却+降膜吸收+碱液吸收后由25米高的排气筒P1排放；吹脱精制</w:t>
            </w:r>
            <w:r>
              <w:t>工序产生</w:t>
            </w:r>
            <w:r>
              <w:rPr>
                <w:rFonts w:hint="eastAsia"/>
              </w:rPr>
              <w:t>的氯气</w:t>
            </w:r>
            <w:r>
              <w:t>、</w:t>
            </w:r>
            <w:r>
              <w:rPr>
                <w:rFonts w:hint="eastAsia"/>
              </w:rPr>
              <w:t>氯化氢</w:t>
            </w:r>
            <w:r>
              <w:t xml:space="preserve">、VOCs </w:t>
            </w:r>
            <w:r>
              <w:rPr>
                <w:rFonts w:hint="eastAsia"/>
              </w:rPr>
              <w:t>（以非甲烷总烃计）废气经降膜吸+碱液吸收后由25米高的排气筒P1排放；盐酸储罐产生的小呼吸废气氯化氢经水浴吸+碱液吸收后由25米高的排气筒P1排放。无组织废气主要为括装置区废气、原料、产品集中存储区的大小呼吸废气和跑冒滴漏产生的废气。</w:t>
            </w:r>
          </w:p>
          <w:p>
            <w:pPr>
              <w:spacing w:line="360" w:lineRule="auto"/>
            </w:pPr>
            <w:r>
              <w:t>验收监测期间，</w:t>
            </w:r>
            <w:r>
              <w:rPr>
                <w:rFonts w:hint="eastAsia"/>
              </w:rPr>
              <w:t>P1排气筒中的氯气</w:t>
            </w:r>
            <w:r>
              <w:t>、</w:t>
            </w:r>
            <w:r>
              <w:rPr>
                <w:rFonts w:hint="eastAsia"/>
              </w:rPr>
              <w:t>氯化氢</w:t>
            </w:r>
            <w:r>
              <w:t>排放浓度满足</w:t>
            </w:r>
            <w:r>
              <w:rPr>
                <w:rFonts w:hint="eastAsia"/>
              </w:rPr>
              <w:t>《石油化学工业污染物排放标准》（GB31571-2015）表4大气污染物排放限值中的相关相关排放标准的要求（氯化氢：30mg/m</w:t>
            </w:r>
            <w:r>
              <w:rPr>
                <w:rFonts w:hint="eastAsia"/>
                <w:vertAlign w:val="superscript"/>
              </w:rPr>
              <w:t>3</w:t>
            </w:r>
            <w:r>
              <w:rPr>
                <w:rFonts w:hint="eastAsia"/>
              </w:rPr>
              <w:t>，氯气：5.0mg/m</w:t>
            </w:r>
            <w:r>
              <w:rPr>
                <w:rFonts w:hint="eastAsia"/>
                <w:vertAlign w:val="superscript"/>
              </w:rPr>
              <w:t>3</w:t>
            </w:r>
            <w:r>
              <w:rPr>
                <w:rFonts w:hint="eastAsia"/>
              </w:rPr>
              <w:t>），氯气和氯化氢排放速率均满足《大气污染物综合排放标准》（GB16297-1996）表2中最高允许排放速率的相关要求（氯化氢：0.0447kg/h，氯气0.0068kg/h）；</w:t>
            </w:r>
            <w:r>
              <w:t>VOCs</w:t>
            </w:r>
            <w:r>
              <w:rPr>
                <w:rFonts w:hint="eastAsia"/>
              </w:rPr>
              <w:t>（以非甲烷总烃计）</w:t>
            </w:r>
            <w:r>
              <w:t>排放浓度满足</w:t>
            </w:r>
            <w:r>
              <w:rPr>
                <w:rFonts w:hint="eastAsia"/>
              </w:rPr>
              <w:t>《挥发性有机物排放标准 第6部分：有机化工行业》（DB37/2801.6-2018）表1中其他行业Ⅱ时段标准（浓度限值：60mg/m</w:t>
            </w:r>
            <w:r>
              <w:rPr>
                <w:rFonts w:hint="eastAsia"/>
                <w:vertAlign w:val="superscript"/>
              </w:rPr>
              <w:t>3</w:t>
            </w:r>
            <w:r>
              <w:rPr>
                <w:rFonts w:hint="eastAsia"/>
              </w:rPr>
              <w:t>，速率限值：3.0kg/h）的要求。无组织废气VOCs厂界排放浓度满足《挥发性有机物排放标准第6部分：有机化工行业》(DB37/2801.6- 2018)表3中的标准限值。</w:t>
            </w:r>
          </w:p>
          <w:p>
            <w:pPr>
              <w:spacing w:line="360" w:lineRule="auto"/>
              <w:contextualSpacing/>
            </w:pPr>
            <w:r>
              <w:rPr>
                <w:rFonts w:hint="eastAsia"/>
              </w:rPr>
              <w:t>项目主要噪声源为为循环泵、打料泵、风机、离心机、输送泵、空压机等设备。选用了低噪声设备、生产设备安装于车间、安装消声器等措施，减少噪声的影响。</w:t>
            </w:r>
          </w:p>
          <w:p>
            <w:pPr>
              <w:spacing w:line="360" w:lineRule="auto"/>
            </w:pPr>
            <w:r>
              <w:rPr>
                <w:rFonts w:hint="eastAsia"/>
              </w:rPr>
              <w:t>验收监测期间，东、南、西、北厂界昼间最大值分别为57dB（A）、56dB（A）、57dB（A）、58dB（A），东、南、西、北厂界夜间最大值分别为49dB（A）、46dB（A）、44dB（A）、45dB（A），各厂界噪声昼夜测量值均满足《工业企业厂界环境噪声排放标准》（GB12348-2008）中3类区标准要求。</w:t>
            </w:r>
          </w:p>
          <w:p>
            <w:pPr>
              <w:spacing w:line="360" w:lineRule="auto"/>
            </w:pPr>
            <w:r>
              <w:rPr>
                <w:rFonts w:hint="eastAsia"/>
              </w:rPr>
              <w:t>4、按固体废物“资源化、减量化、无害化”处置原则，落实了各类固体废物的收集、综合利用和处置措施。本项目固废主要有生活</w:t>
            </w:r>
            <w:r>
              <w:rPr>
                <w:rFonts w:hint="eastAsia"/>
                <w:color w:val="auto"/>
              </w:rPr>
              <w:t>垃圾、设备</w:t>
            </w:r>
            <w:r>
              <w:rPr>
                <w:rFonts w:hint="eastAsia"/>
              </w:rPr>
              <w:t>维护产生的废机油桶和废机油。生活垃圾集中收集至垃圾桶内暂存，由环卫部门统一清运处理；设备维护过程产生的废机油桶及废机油是危险废物，收集暂存于危废暂存场所内，废机油回用于生产，废机油桶统一由山东大地盐化集团有限公司处置；危险废物严格执行《危险废物转移管理办法》。</w:t>
            </w:r>
          </w:p>
          <w:p>
            <w:pPr>
              <w:spacing w:line="360" w:lineRule="auto"/>
            </w:pPr>
            <w:r>
              <w:rPr>
                <w:rFonts w:hint="eastAsia"/>
              </w:rPr>
              <w:t>5、项目排入外环境的主要污染物总量控制在总量确认书SGZL（2023）47号确定范围内。</w:t>
            </w:r>
          </w:p>
          <w:p>
            <w:pPr>
              <w:pStyle w:val="2"/>
              <w:spacing w:line="360" w:lineRule="auto"/>
              <w:ind w:left="0" w:leftChars="0" w:firstLine="0" w:firstLineChars="0"/>
              <w:rPr>
                <w:szCs w:val="21"/>
              </w:rPr>
            </w:pPr>
            <w:r>
              <w:rPr>
                <w:rFonts w:hint="eastAsia"/>
                <w:szCs w:val="21"/>
              </w:rPr>
              <w:t>6、落实了报告书中提出的环境管理、环境监测计划，定期进行环境监测、动态跟踪监测，规范设置了有组织废气永久采样孔、采样监测平台，规范了危险废物暂存间，并设立标志牌。</w:t>
            </w:r>
          </w:p>
          <w:p>
            <w:pPr>
              <w:spacing w:line="360" w:lineRule="auto"/>
            </w:pPr>
            <w:r>
              <w:rPr>
                <w:rFonts w:hint="eastAsia"/>
              </w:rPr>
              <w:t>7、严格落实了各项环境风险防范措施，制定了</w:t>
            </w:r>
            <w:r>
              <w:rPr>
                <w:color w:val="000000"/>
              </w:rPr>
              <w:t>突发环境事件应急预案并已报</w:t>
            </w:r>
            <w:r>
              <w:rPr>
                <w:rFonts w:hint="eastAsia"/>
                <w:color w:val="000000"/>
              </w:rPr>
              <w:t>潍坊市生态环境局寿光分局</w:t>
            </w:r>
            <w:r>
              <w:rPr>
                <w:color w:val="000000"/>
              </w:rPr>
              <w:t>备案</w:t>
            </w:r>
            <w:r>
              <w:rPr>
                <w:rFonts w:hint="eastAsia"/>
                <w:color w:val="000000"/>
              </w:rPr>
              <w:t>（备案编号：</w:t>
            </w:r>
            <w:r>
              <w:rPr>
                <w:rFonts w:hint="eastAsia"/>
              </w:rPr>
              <w:t>370783-2024-311-M）</w:t>
            </w:r>
            <w:r>
              <w:t>。</w:t>
            </w:r>
            <w:r>
              <w:rPr>
                <w:rFonts w:hint="eastAsia"/>
              </w:rPr>
              <w:t>配备了必要的应急设备，定期开展了环境风险应急培训和演练，加强员工环境风险防范安全教育，切实提高事故应急处理及防范能力。</w:t>
            </w:r>
          </w:p>
          <w:p>
            <w:pPr>
              <w:spacing w:line="360" w:lineRule="auto"/>
            </w:pPr>
            <w:r>
              <w:rPr>
                <w:rFonts w:hint="eastAsia"/>
              </w:rPr>
              <w:t>8、定期对环保设施开展了安全风险评估，健全内部管理责任制度，严格依据标准规范建设环保设施，采取得力措施避免安全事故发生。</w:t>
            </w:r>
          </w:p>
          <w:p/>
          <w:p>
            <w:pPr>
              <w:pStyle w:val="2"/>
            </w:pPr>
          </w:p>
        </w:tc>
        <w:tc>
          <w:tcPr>
            <w:tcW w:w="1238" w:type="dxa"/>
            <w:tcBorders>
              <w:tl2br w:val="nil"/>
              <w:tr2bl w:val="nil"/>
            </w:tcBorders>
            <w:vAlign w:val="center"/>
          </w:tcPr>
          <w:p>
            <w:pPr>
              <w:spacing w:line="360" w:lineRule="auto"/>
              <w:contextualSpacing/>
              <w:jc w:val="center"/>
            </w:pPr>
            <w:r>
              <w:t>落实</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57" w:type="dxa"/>
            <w:tcBorders>
              <w:tl2br w:val="nil"/>
              <w:tr2bl w:val="nil"/>
            </w:tcBorders>
            <w:vAlign w:val="center"/>
          </w:tcPr>
          <w:p>
            <w:pPr>
              <w:spacing w:line="360" w:lineRule="auto"/>
              <w:contextualSpacing/>
              <w:rPr>
                <w:color w:val="000000"/>
              </w:rPr>
            </w:pPr>
            <w:r>
              <w:rPr>
                <w:rFonts w:hint="eastAsia"/>
              </w:rPr>
              <w:t>强化环境信息公开与公众参与机制。按照《建设项目环境影响评价信息公开机制方案》要求，落实建设项目环评信息公开主体责任，及时公开相关环境信息。加强与周围公众的沟通及时解决公众提出的环境问题，满足公众合理的环境诉求。</w:t>
            </w:r>
          </w:p>
        </w:tc>
        <w:tc>
          <w:tcPr>
            <w:tcW w:w="6030" w:type="dxa"/>
            <w:tcBorders>
              <w:tl2br w:val="nil"/>
              <w:tr2bl w:val="nil"/>
            </w:tcBorders>
            <w:vAlign w:val="center"/>
          </w:tcPr>
          <w:p>
            <w:pPr>
              <w:spacing w:line="360" w:lineRule="auto"/>
              <w:contextualSpacing/>
              <w:jc w:val="center"/>
            </w:pPr>
            <w:r>
              <w:rPr>
                <w:bCs/>
                <w:color w:val="000000"/>
              </w:rPr>
              <w:t>严格执行该项规定。</w:t>
            </w:r>
          </w:p>
        </w:tc>
        <w:tc>
          <w:tcPr>
            <w:tcW w:w="1238" w:type="dxa"/>
            <w:tcBorders>
              <w:tl2br w:val="nil"/>
              <w:tr2bl w:val="nil"/>
            </w:tcBorders>
            <w:vAlign w:val="center"/>
          </w:tcPr>
          <w:p>
            <w:pPr>
              <w:spacing w:line="360" w:lineRule="auto"/>
              <w:contextualSpacing/>
              <w:jc w:val="center"/>
            </w:pPr>
            <w:r>
              <w:t>落实</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57" w:type="dxa"/>
            <w:tcBorders>
              <w:tl2br w:val="nil"/>
              <w:tr2bl w:val="nil"/>
            </w:tcBorders>
            <w:vAlign w:val="center"/>
          </w:tcPr>
          <w:p>
            <w:pPr>
              <w:spacing w:line="360" w:lineRule="auto"/>
              <w:contextualSpacing/>
            </w:pPr>
            <w:r>
              <w:rPr>
                <w:rFonts w:hint="eastAsia"/>
              </w:rPr>
              <w:t>你单位须按照排污许可管理有关规定，在启动生产设施或者在实际排污之前申请排污许可证，并按证排污。</w:t>
            </w:r>
          </w:p>
        </w:tc>
        <w:tc>
          <w:tcPr>
            <w:tcW w:w="6030" w:type="dxa"/>
            <w:tcBorders>
              <w:tl2br w:val="nil"/>
              <w:tr2bl w:val="nil"/>
            </w:tcBorders>
            <w:vAlign w:val="center"/>
          </w:tcPr>
          <w:p>
            <w:pPr>
              <w:spacing w:line="360" w:lineRule="auto"/>
              <w:contextualSpacing/>
              <w:jc w:val="center"/>
            </w:pPr>
            <w:r>
              <w:rPr>
                <w:bCs/>
                <w:color w:val="000000"/>
              </w:rPr>
              <w:t>严格执行该项规定。</w:t>
            </w:r>
          </w:p>
        </w:tc>
        <w:tc>
          <w:tcPr>
            <w:tcW w:w="1238" w:type="dxa"/>
            <w:tcBorders>
              <w:tl2br w:val="nil"/>
              <w:tr2bl w:val="nil"/>
            </w:tcBorders>
            <w:vAlign w:val="center"/>
          </w:tcPr>
          <w:p>
            <w:pPr>
              <w:spacing w:line="360" w:lineRule="auto"/>
              <w:contextualSpacing/>
              <w:jc w:val="cente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57" w:type="dxa"/>
            <w:tcBorders>
              <w:tl2br w:val="nil"/>
              <w:tr2bl w:val="nil"/>
            </w:tcBorders>
            <w:vAlign w:val="center"/>
          </w:tcPr>
          <w:p>
            <w:pPr>
              <w:spacing w:line="360" w:lineRule="auto"/>
              <w:contextualSpacing/>
              <w:rPr>
                <w:color w:val="000000"/>
              </w:rPr>
            </w:pPr>
            <w:r>
              <w:rPr>
                <w:rFonts w:hint="eastAsia"/>
              </w:rPr>
              <w:t>你单位必须严格执行本项目环境保护设施与主体工程同时设计、同时施工、同时投入使用的“三同时”制度。项目竣工后，须按规定程序进行竣工环境保护验收。</w:t>
            </w:r>
          </w:p>
        </w:tc>
        <w:tc>
          <w:tcPr>
            <w:tcW w:w="6030" w:type="dxa"/>
            <w:tcBorders>
              <w:tl2br w:val="nil"/>
              <w:tr2bl w:val="nil"/>
            </w:tcBorders>
            <w:vAlign w:val="center"/>
          </w:tcPr>
          <w:p>
            <w:pPr>
              <w:spacing w:line="360" w:lineRule="auto"/>
              <w:contextualSpacing/>
              <w:jc w:val="center"/>
              <w:rPr>
                <w:highlight w:val="yellow"/>
              </w:rPr>
            </w:pPr>
            <w:r>
              <w:rPr>
                <w:bCs/>
                <w:color w:val="000000"/>
              </w:rPr>
              <w:t>严格执行该项规定。</w:t>
            </w:r>
          </w:p>
        </w:tc>
        <w:tc>
          <w:tcPr>
            <w:tcW w:w="1238" w:type="dxa"/>
            <w:tcBorders>
              <w:tl2br w:val="nil"/>
              <w:tr2bl w:val="nil"/>
            </w:tcBorders>
            <w:vAlign w:val="center"/>
          </w:tcPr>
          <w:p>
            <w:pPr>
              <w:spacing w:line="360" w:lineRule="auto"/>
              <w:contextualSpacing/>
              <w:jc w:val="center"/>
            </w:pPr>
            <w:r>
              <w:t>落实</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57" w:type="dxa"/>
            <w:tcBorders>
              <w:tl2br w:val="nil"/>
              <w:tr2bl w:val="nil"/>
            </w:tcBorders>
            <w:vAlign w:val="center"/>
          </w:tcPr>
          <w:p>
            <w:pPr>
              <w:spacing w:line="360" w:lineRule="auto"/>
              <w:contextualSpacing/>
              <w:rPr>
                <w:color w:val="000000"/>
              </w:rPr>
            </w:pPr>
            <w:r>
              <w:rPr>
                <w:rFonts w:hint="eastAsia"/>
              </w:rPr>
              <w:t>你单位要不断加强污染防治，确保满足环境管理最新要求；按照《污染影响类建设项目重大变动清单（试行）》（环办环评函［2020］688号），若该项目的性质、规模、地点、采用的生产工艺或者防治污染、防止生态破坏的措施发生重大变化，应该重新向我局报批环境影响评价文件。</w:t>
            </w:r>
          </w:p>
        </w:tc>
        <w:tc>
          <w:tcPr>
            <w:tcW w:w="6030" w:type="dxa"/>
            <w:tcBorders>
              <w:tl2br w:val="nil"/>
              <w:tr2bl w:val="nil"/>
            </w:tcBorders>
            <w:vAlign w:val="center"/>
          </w:tcPr>
          <w:p>
            <w:pPr>
              <w:spacing w:line="360" w:lineRule="auto"/>
              <w:contextualSpacing/>
              <w:jc w:val="center"/>
              <w:rPr>
                <w:highlight w:val="yellow"/>
              </w:rPr>
            </w:pPr>
            <w:r>
              <w:rPr>
                <w:bCs/>
                <w:color w:val="000000"/>
              </w:rPr>
              <w:t>严格执行该项规定。</w:t>
            </w:r>
          </w:p>
        </w:tc>
        <w:tc>
          <w:tcPr>
            <w:tcW w:w="1238" w:type="dxa"/>
            <w:tcBorders>
              <w:tl2br w:val="nil"/>
              <w:tr2bl w:val="nil"/>
            </w:tcBorders>
            <w:vAlign w:val="center"/>
          </w:tcPr>
          <w:p>
            <w:pPr>
              <w:spacing w:line="360" w:lineRule="auto"/>
              <w:contextualSpacing/>
              <w:jc w:val="center"/>
            </w:pPr>
            <w:r>
              <w:t>落实</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57" w:type="dxa"/>
            <w:tcBorders>
              <w:tl2br w:val="nil"/>
              <w:tr2bl w:val="nil"/>
            </w:tcBorders>
            <w:vAlign w:val="center"/>
          </w:tcPr>
          <w:p>
            <w:pPr>
              <w:spacing w:line="360" w:lineRule="auto"/>
              <w:contextualSpacing/>
              <w:rPr>
                <w:color w:val="000000"/>
              </w:rPr>
            </w:pPr>
            <w:r>
              <w:rPr>
                <w:rFonts w:hint="eastAsia"/>
              </w:rPr>
              <w:t>请潍坊市寿光生态环境保护综合执法大队加强该项目建设和运行期间的环境保护监督监察工作。</w:t>
            </w:r>
          </w:p>
        </w:tc>
        <w:tc>
          <w:tcPr>
            <w:tcW w:w="6030" w:type="dxa"/>
            <w:tcBorders>
              <w:tl2br w:val="nil"/>
              <w:tr2bl w:val="nil"/>
            </w:tcBorders>
            <w:vAlign w:val="center"/>
          </w:tcPr>
          <w:p>
            <w:pPr>
              <w:spacing w:line="360" w:lineRule="auto"/>
              <w:contextualSpacing/>
              <w:jc w:val="center"/>
              <w:rPr>
                <w:color w:val="000000"/>
              </w:rPr>
            </w:pPr>
            <w:r>
              <w:rPr>
                <w:bCs/>
                <w:color w:val="000000"/>
              </w:rPr>
              <w:t>严格执行该项规定。</w:t>
            </w:r>
          </w:p>
        </w:tc>
        <w:tc>
          <w:tcPr>
            <w:tcW w:w="1238" w:type="dxa"/>
            <w:tcBorders>
              <w:tl2br w:val="nil"/>
              <w:tr2bl w:val="nil"/>
            </w:tcBorders>
            <w:vAlign w:val="center"/>
          </w:tcPr>
          <w:p>
            <w:pPr>
              <w:spacing w:line="360" w:lineRule="auto"/>
              <w:contextualSpacing/>
              <w:jc w:val="center"/>
            </w:pPr>
            <w:r>
              <w:t>落实</w:t>
            </w:r>
          </w:p>
        </w:tc>
      </w:tr>
    </w:tbl>
    <w:p>
      <w:pPr>
        <w:pStyle w:val="23"/>
        <w:ind w:firstLine="480"/>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9"/>
        <w:spacing w:line="360" w:lineRule="auto"/>
      </w:pPr>
      <w:bookmarkStart w:id="61" w:name="_Toc19350"/>
      <w:r>
        <w:t>第五章 环评结论与建议</w:t>
      </w:r>
      <w:bookmarkEnd w:id="61"/>
    </w:p>
    <w:p>
      <w:pPr>
        <w:pStyle w:val="10"/>
        <w:spacing w:line="360" w:lineRule="auto"/>
        <w:contextualSpacing/>
        <w:jc w:val="both"/>
        <w:rPr>
          <w:rStyle w:val="96"/>
          <w:rFonts w:ascii="Times New Roman" w:hAnsi="Times New Roman" w:cs="Times New Roman"/>
          <w:b/>
          <w:bCs w:val="0"/>
        </w:rPr>
      </w:pPr>
      <w:bookmarkStart w:id="62" w:name="_Toc45203820"/>
      <w:bookmarkStart w:id="63" w:name="_Toc19084"/>
      <w:r>
        <w:rPr>
          <w:rStyle w:val="96"/>
          <w:rFonts w:ascii="Times New Roman" w:hAnsi="Times New Roman" w:cs="Times New Roman"/>
          <w:b/>
          <w:bCs w:val="0"/>
        </w:rPr>
        <w:t>5.1 环评结论</w:t>
      </w:r>
      <w:bookmarkEnd w:id="62"/>
      <w:r>
        <w:rPr>
          <w:rStyle w:val="96"/>
          <w:rFonts w:hint="eastAsia" w:cs="Times New Roman"/>
          <w:b/>
          <w:bCs w:val="0"/>
        </w:rPr>
        <w:t>与建议</w:t>
      </w:r>
      <w:bookmarkEnd w:id="63"/>
    </w:p>
    <w:p>
      <w:pPr>
        <w:spacing w:line="360" w:lineRule="auto"/>
        <w:contextualSpacing/>
      </w:pPr>
      <w:r>
        <w:drawing>
          <wp:inline distT="0" distB="0" distL="114300" distR="114300">
            <wp:extent cx="5270500" cy="7606665"/>
            <wp:effectExtent l="0" t="0" r="6350" b="13335"/>
            <wp:docPr id="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
                    <pic:cNvPicPr>
                      <a:picLocks noChangeAspect="1"/>
                    </pic:cNvPicPr>
                  </pic:nvPicPr>
                  <pic:blipFill>
                    <a:blip r:embed="rId42"/>
                    <a:stretch>
                      <a:fillRect/>
                    </a:stretch>
                  </pic:blipFill>
                  <pic:spPr>
                    <a:xfrm>
                      <a:off x="0" y="0"/>
                      <a:ext cx="5270500" cy="7606665"/>
                    </a:xfrm>
                    <a:prstGeom prst="rect">
                      <a:avLst/>
                    </a:prstGeom>
                    <a:noFill/>
                    <a:ln>
                      <a:noFill/>
                    </a:ln>
                  </pic:spPr>
                </pic:pic>
              </a:graphicData>
            </a:graphic>
          </wp:inline>
        </w:drawing>
      </w:r>
    </w:p>
    <w:p/>
    <w:p>
      <w:pPr>
        <w:pStyle w:val="2"/>
        <w:ind w:left="0" w:leftChars="0" w:firstLine="0" w:firstLineChars="0"/>
      </w:pPr>
      <w:r>
        <w:drawing>
          <wp:inline distT="0" distB="0" distL="114300" distR="114300">
            <wp:extent cx="5270500" cy="7280275"/>
            <wp:effectExtent l="0" t="0" r="6350" b="15875"/>
            <wp:docPr id="8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2"/>
                    <pic:cNvPicPr>
                      <a:picLocks noChangeAspect="1"/>
                    </pic:cNvPicPr>
                  </pic:nvPicPr>
                  <pic:blipFill>
                    <a:blip r:embed="rId43"/>
                    <a:stretch>
                      <a:fillRect/>
                    </a:stretch>
                  </pic:blipFill>
                  <pic:spPr>
                    <a:xfrm>
                      <a:off x="0" y="0"/>
                      <a:ext cx="5270500" cy="7280275"/>
                    </a:xfrm>
                    <a:prstGeom prst="rect">
                      <a:avLst/>
                    </a:prstGeom>
                    <a:noFill/>
                    <a:ln>
                      <a:noFill/>
                    </a:ln>
                  </pic:spPr>
                </pic:pic>
              </a:graphicData>
            </a:graphic>
          </wp:inline>
        </w:drawing>
      </w:r>
    </w:p>
    <w:p/>
    <w:p>
      <w:pPr>
        <w:pStyle w:val="2"/>
      </w:pPr>
    </w:p>
    <w:p/>
    <w:p>
      <w:pPr>
        <w:pStyle w:val="2"/>
      </w:pPr>
    </w:p>
    <w:p/>
    <w:p>
      <w:pPr>
        <w:pStyle w:val="2"/>
      </w:pPr>
    </w:p>
    <w:p/>
    <w:p>
      <w:pPr>
        <w:pStyle w:val="2"/>
        <w:ind w:left="0" w:leftChars="0" w:firstLine="0" w:firstLineChars="0"/>
      </w:pPr>
      <w:r>
        <w:drawing>
          <wp:inline distT="0" distB="0" distL="114300" distR="114300">
            <wp:extent cx="5269230" cy="7335520"/>
            <wp:effectExtent l="0" t="0" r="7620" b="17780"/>
            <wp:docPr id="8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3"/>
                    <pic:cNvPicPr>
                      <a:picLocks noChangeAspect="1"/>
                    </pic:cNvPicPr>
                  </pic:nvPicPr>
                  <pic:blipFill>
                    <a:blip r:embed="rId44"/>
                    <a:stretch>
                      <a:fillRect/>
                    </a:stretch>
                  </pic:blipFill>
                  <pic:spPr>
                    <a:xfrm>
                      <a:off x="0" y="0"/>
                      <a:ext cx="5269230" cy="7335520"/>
                    </a:xfrm>
                    <a:prstGeom prst="rect">
                      <a:avLst/>
                    </a:prstGeom>
                    <a:noFill/>
                    <a:ln>
                      <a:noFill/>
                    </a:ln>
                  </pic:spPr>
                </pic:pic>
              </a:graphicData>
            </a:graphic>
          </wp:inline>
        </w:drawing>
      </w:r>
    </w:p>
    <w:p/>
    <w:p>
      <w:pPr>
        <w:pStyle w:val="2"/>
      </w:pPr>
    </w:p>
    <w:p/>
    <w:p>
      <w:pPr>
        <w:pStyle w:val="2"/>
      </w:pPr>
    </w:p>
    <w:p/>
    <w:p>
      <w:pPr>
        <w:pStyle w:val="2"/>
        <w:ind w:left="0" w:leftChars="0" w:firstLine="0" w:firstLineChars="0"/>
      </w:pPr>
      <w:r>
        <w:drawing>
          <wp:inline distT="0" distB="0" distL="114300" distR="114300">
            <wp:extent cx="5273675" cy="7394575"/>
            <wp:effectExtent l="0" t="0" r="3175" b="15875"/>
            <wp:docPr id="8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4"/>
                    <pic:cNvPicPr>
                      <a:picLocks noChangeAspect="1"/>
                    </pic:cNvPicPr>
                  </pic:nvPicPr>
                  <pic:blipFill>
                    <a:blip r:embed="rId45"/>
                    <a:stretch>
                      <a:fillRect/>
                    </a:stretch>
                  </pic:blipFill>
                  <pic:spPr>
                    <a:xfrm>
                      <a:off x="0" y="0"/>
                      <a:ext cx="5273675" cy="7394575"/>
                    </a:xfrm>
                    <a:prstGeom prst="rect">
                      <a:avLst/>
                    </a:prstGeom>
                    <a:noFill/>
                    <a:ln>
                      <a:noFill/>
                    </a:ln>
                  </pic:spPr>
                </pic:pic>
              </a:graphicData>
            </a:graphic>
          </wp:inline>
        </w:drawing>
      </w:r>
    </w:p>
    <w:p/>
    <w:p>
      <w:pPr>
        <w:pStyle w:val="2"/>
      </w:pPr>
    </w:p>
    <w:p/>
    <w:p>
      <w:pPr>
        <w:pStyle w:val="2"/>
      </w:pPr>
    </w:p>
    <w:p>
      <w:r>
        <w:drawing>
          <wp:inline distT="0" distB="0" distL="114300" distR="114300">
            <wp:extent cx="5269230" cy="7752715"/>
            <wp:effectExtent l="0" t="0" r="7620" b="635"/>
            <wp:docPr id="9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5"/>
                    <pic:cNvPicPr>
                      <a:picLocks noChangeAspect="1"/>
                    </pic:cNvPicPr>
                  </pic:nvPicPr>
                  <pic:blipFill>
                    <a:blip r:embed="rId46"/>
                    <a:stretch>
                      <a:fillRect/>
                    </a:stretch>
                  </pic:blipFill>
                  <pic:spPr>
                    <a:xfrm>
                      <a:off x="0" y="0"/>
                      <a:ext cx="5269230" cy="7752715"/>
                    </a:xfrm>
                    <a:prstGeom prst="rect">
                      <a:avLst/>
                    </a:prstGeom>
                    <a:noFill/>
                    <a:ln>
                      <a:noFill/>
                    </a:ln>
                  </pic:spPr>
                </pic:pic>
              </a:graphicData>
            </a:graphic>
          </wp:inline>
        </w:drawing>
      </w:r>
    </w:p>
    <w:p/>
    <w:p>
      <w:pPr>
        <w:pStyle w:val="2"/>
      </w:pPr>
    </w:p>
    <w:p/>
    <w:p>
      <w:pPr>
        <w:pStyle w:val="2"/>
      </w:pPr>
    </w:p>
    <w:p>
      <w:r>
        <w:drawing>
          <wp:inline distT="0" distB="0" distL="114300" distR="114300">
            <wp:extent cx="5271770" cy="7593330"/>
            <wp:effectExtent l="0" t="0" r="5080" b="7620"/>
            <wp:docPr id="9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6"/>
                    <pic:cNvPicPr>
                      <a:picLocks noChangeAspect="1"/>
                    </pic:cNvPicPr>
                  </pic:nvPicPr>
                  <pic:blipFill>
                    <a:blip r:embed="rId47"/>
                    <a:stretch>
                      <a:fillRect/>
                    </a:stretch>
                  </pic:blipFill>
                  <pic:spPr>
                    <a:xfrm>
                      <a:off x="0" y="0"/>
                      <a:ext cx="5271770" cy="7593330"/>
                    </a:xfrm>
                    <a:prstGeom prst="rect">
                      <a:avLst/>
                    </a:prstGeom>
                    <a:noFill/>
                    <a:ln>
                      <a:noFill/>
                    </a:ln>
                  </pic:spPr>
                </pic:pic>
              </a:graphicData>
            </a:graphic>
          </wp:inline>
        </w:drawing>
      </w:r>
    </w:p>
    <w:p>
      <w:pPr>
        <w:pStyle w:val="2"/>
      </w:pPr>
    </w:p>
    <w:p/>
    <w:p>
      <w:pPr>
        <w:pStyle w:val="2"/>
      </w:pPr>
    </w:p>
    <w:p/>
    <w:p/>
    <w:p>
      <w:pPr>
        <w:spacing w:line="360" w:lineRule="auto"/>
        <w:contextualSpacing/>
        <w:outlineLvl w:val="1"/>
        <w:rPr>
          <w:b/>
          <w:bCs/>
          <w:color w:val="000000"/>
          <w:sz w:val="28"/>
          <w:szCs w:val="28"/>
        </w:rPr>
      </w:pPr>
      <w:bookmarkStart w:id="64" w:name="_Toc26441"/>
      <w:r>
        <w:rPr>
          <w:rStyle w:val="59"/>
          <w:rFonts w:hint="eastAsia"/>
        </w:rPr>
        <w:t>5.2</w:t>
      </w:r>
      <w:r>
        <w:rPr>
          <w:b/>
          <w:bCs/>
          <w:color w:val="000000"/>
          <w:sz w:val="28"/>
          <w:szCs w:val="28"/>
        </w:rPr>
        <w:t>审批部门审批决定</w:t>
      </w:r>
      <w:bookmarkEnd w:id="64"/>
    </w:p>
    <w:p>
      <w:pPr>
        <w:rPr>
          <w:b/>
          <w:bCs/>
          <w:color w:val="000000"/>
          <w:sz w:val="28"/>
          <w:szCs w:val="28"/>
        </w:rPr>
      </w:pPr>
      <w:r>
        <w:drawing>
          <wp:anchor distT="0" distB="0" distL="114300" distR="114300" simplePos="0" relativeHeight="251675648" behindDoc="1" locked="0" layoutInCell="1" allowOverlap="1">
            <wp:simplePos x="0" y="0"/>
            <wp:positionH relativeFrom="column">
              <wp:posOffset>-221615</wp:posOffset>
            </wp:positionH>
            <wp:positionV relativeFrom="paragraph">
              <wp:posOffset>138430</wp:posOffset>
            </wp:positionV>
            <wp:extent cx="5141595" cy="7527290"/>
            <wp:effectExtent l="0" t="0" r="1905" b="1651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48"/>
                    <a:stretch>
                      <a:fillRect/>
                    </a:stretch>
                  </pic:blipFill>
                  <pic:spPr>
                    <a:xfrm>
                      <a:off x="0" y="0"/>
                      <a:ext cx="5141595" cy="7527290"/>
                    </a:xfrm>
                    <a:prstGeom prst="rect">
                      <a:avLst/>
                    </a:prstGeom>
                    <a:noFill/>
                    <a:ln>
                      <a:noFill/>
                    </a:ln>
                  </pic:spPr>
                </pic:pic>
              </a:graphicData>
            </a:graphic>
          </wp:anchor>
        </w:drawing>
      </w:r>
    </w:p>
    <w:p>
      <w:pPr>
        <w:pStyle w:val="2"/>
      </w:pPr>
    </w:p>
    <w:p/>
    <w:p/>
    <w:p/>
    <w:p/>
    <w:p/>
    <w:p/>
    <w:p/>
    <w:p/>
    <w:p/>
    <w:p/>
    <w:p/>
    <w:p/>
    <w:p/>
    <w:p/>
    <w:p/>
    <w:p/>
    <w:p/>
    <w:p/>
    <w:p/>
    <w:p/>
    <w:p/>
    <w:p/>
    <w:p/>
    <w:p/>
    <w:p/>
    <w:p/>
    <w:p/>
    <w:p/>
    <w:p/>
    <w:p/>
    <w:p/>
    <w:p/>
    <w:p/>
    <w:p/>
    <w:p/>
    <w:p/>
    <w:p/>
    <w:p>
      <w:pPr>
        <w:tabs>
          <w:tab w:val="center" w:pos="4153"/>
        </w:tabs>
        <w:jc w:val="left"/>
      </w:pPr>
      <w:r>
        <w:rPr>
          <w:rFonts w:hint="eastAsia"/>
        </w:rPr>
        <w:tab/>
      </w:r>
      <w:r>
        <w:rPr>
          <w:rFonts w:hint="eastAsia"/>
        </w:rPr>
        <w:tab/>
      </w:r>
    </w:p>
    <w:p>
      <w:pPr>
        <w:pStyle w:val="2"/>
      </w:pPr>
    </w:p>
    <w:p>
      <w:r>
        <w:drawing>
          <wp:anchor distT="0" distB="0" distL="114300" distR="114300" simplePos="0" relativeHeight="251676672" behindDoc="1" locked="0" layoutInCell="1" allowOverlap="1">
            <wp:simplePos x="0" y="0"/>
            <wp:positionH relativeFrom="column">
              <wp:posOffset>-106680</wp:posOffset>
            </wp:positionH>
            <wp:positionV relativeFrom="paragraph">
              <wp:posOffset>128270</wp:posOffset>
            </wp:positionV>
            <wp:extent cx="5339080" cy="6981825"/>
            <wp:effectExtent l="0" t="0" r="13970" b="9525"/>
            <wp:wrapNone/>
            <wp:docPr id="4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
                    <pic:cNvPicPr>
                      <a:picLocks noChangeAspect="1"/>
                    </pic:cNvPicPr>
                  </pic:nvPicPr>
                  <pic:blipFill>
                    <a:blip r:embed="rId49"/>
                    <a:stretch>
                      <a:fillRect/>
                    </a:stretch>
                  </pic:blipFill>
                  <pic:spPr>
                    <a:xfrm>
                      <a:off x="0" y="0"/>
                      <a:ext cx="5339080" cy="6981825"/>
                    </a:xfrm>
                    <a:prstGeom prst="rect">
                      <a:avLst/>
                    </a:prstGeom>
                    <a:noFill/>
                    <a:ln>
                      <a:noFill/>
                    </a:ln>
                  </pic:spPr>
                </pic:pic>
              </a:graphicData>
            </a:graphic>
          </wp:anchor>
        </w:drawing>
      </w:r>
    </w:p>
    <w:p>
      <w:pPr>
        <w:pStyle w:val="2"/>
      </w:pPr>
    </w:p>
    <w:p/>
    <w:p/>
    <w:p/>
    <w:p/>
    <w:p/>
    <w:p/>
    <w:p/>
    <w:p/>
    <w:p/>
    <w:p/>
    <w:p/>
    <w:p/>
    <w:p/>
    <w:p/>
    <w:p/>
    <w:p/>
    <w:p/>
    <w:p/>
    <w:p/>
    <w:p/>
    <w:p/>
    <w:p/>
    <w:p/>
    <w:p/>
    <w:p/>
    <w:p/>
    <w:p/>
    <w:p/>
    <w:p/>
    <w:p/>
    <w:p/>
    <w:p/>
    <w:p/>
    <w:p/>
    <w:p/>
    <w:p/>
    <w:p/>
    <w:p/>
    <w:p/>
    <w:p/>
    <w:p/>
    <w:p/>
    <w:p>
      <w:pPr>
        <w:tabs>
          <w:tab w:val="center" w:pos="4153"/>
        </w:tabs>
        <w:jc w:val="left"/>
      </w:pPr>
      <w:r>
        <w:drawing>
          <wp:anchor distT="0" distB="0" distL="114300" distR="114300" simplePos="0" relativeHeight="251677696" behindDoc="1" locked="0" layoutInCell="1" allowOverlap="1">
            <wp:simplePos x="0" y="0"/>
            <wp:positionH relativeFrom="column">
              <wp:posOffset>-77470</wp:posOffset>
            </wp:positionH>
            <wp:positionV relativeFrom="paragraph">
              <wp:posOffset>27305</wp:posOffset>
            </wp:positionV>
            <wp:extent cx="5180965" cy="8021955"/>
            <wp:effectExtent l="0" t="0" r="635" b="17145"/>
            <wp:wrapNone/>
            <wp:docPr id="4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
                    <pic:cNvPicPr>
                      <a:picLocks noChangeAspect="1"/>
                    </pic:cNvPicPr>
                  </pic:nvPicPr>
                  <pic:blipFill>
                    <a:blip r:embed="rId50"/>
                    <a:stretch>
                      <a:fillRect/>
                    </a:stretch>
                  </pic:blipFill>
                  <pic:spPr>
                    <a:xfrm>
                      <a:off x="0" y="0"/>
                      <a:ext cx="5180965" cy="8021955"/>
                    </a:xfrm>
                    <a:prstGeom prst="rect">
                      <a:avLst/>
                    </a:prstGeom>
                    <a:noFill/>
                    <a:ln>
                      <a:noFill/>
                    </a:ln>
                  </pic:spPr>
                </pic:pic>
              </a:graphicData>
            </a:graphic>
          </wp:anchor>
        </w:drawing>
      </w:r>
      <w:r>
        <w:rPr>
          <w:rFonts w:hint="eastAsia"/>
        </w:rPr>
        <w:tab/>
      </w:r>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ind w:left="0" w:leftChars="0" w:firstLine="0" w:firstLineChars="0"/>
      </w:pPr>
      <w:r>
        <w:drawing>
          <wp:anchor distT="0" distB="0" distL="114300" distR="114300" simplePos="0" relativeHeight="251678720" behindDoc="1" locked="0" layoutInCell="1" allowOverlap="1">
            <wp:simplePos x="0" y="0"/>
            <wp:positionH relativeFrom="column">
              <wp:posOffset>3175</wp:posOffset>
            </wp:positionH>
            <wp:positionV relativeFrom="paragraph">
              <wp:posOffset>93980</wp:posOffset>
            </wp:positionV>
            <wp:extent cx="5165725" cy="7748905"/>
            <wp:effectExtent l="0" t="0" r="15875" b="4445"/>
            <wp:wrapNone/>
            <wp:docPr id="5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
                    <pic:cNvPicPr>
                      <a:picLocks noChangeAspect="1"/>
                    </pic:cNvPicPr>
                  </pic:nvPicPr>
                  <pic:blipFill>
                    <a:blip r:embed="rId51"/>
                    <a:stretch>
                      <a:fillRect/>
                    </a:stretch>
                  </pic:blipFill>
                  <pic:spPr>
                    <a:xfrm>
                      <a:off x="0" y="0"/>
                      <a:ext cx="5165725" cy="7748905"/>
                    </a:xfrm>
                    <a:prstGeom prst="rect">
                      <a:avLst/>
                    </a:prstGeom>
                    <a:noFill/>
                    <a:ln>
                      <a:noFill/>
                    </a:ln>
                  </pic:spPr>
                </pic:pic>
              </a:graphicData>
            </a:graphic>
          </wp:anchor>
        </w:drawing>
      </w: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r>
        <w:drawing>
          <wp:anchor distT="0" distB="0" distL="114300" distR="114300" simplePos="0" relativeHeight="251679744" behindDoc="1" locked="0" layoutInCell="1" allowOverlap="1">
            <wp:simplePos x="0" y="0"/>
            <wp:positionH relativeFrom="column">
              <wp:posOffset>56515</wp:posOffset>
            </wp:positionH>
            <wp:positionV relativeFrom="paragraph">
              <wp:posOffset>-95885</wp:posOffset>
            </wp:positionV>
            <wp:extent cx="5173980" cy="8042910"/>
            <wp:effectExtent l="0" t="0" r="7620" b="15240"/>
            <wp:wrapNone/>
            <wp:docPr id="5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6"/>
                    <pic:cNvPicPr>
                      <a:picLocks noChangeAspect="1"/>
                    </pic:cNvPicPr>
                  </pic:nvPicPr>
                  <pic:blipFill>
                    <a:blip r:embed="rId52"/>
                    <a:stretch>
                      <a:fillRect/>
                    </a:stretch>
                  </pic:blipFill>
                  <pic:spPr>
                    <a:xfrm>
                      <a:off x="0" y="0"/>
                      <a:ext cx="5173980" cy="8042910"/>
                    </a:xfrm>
                    <a:prstGeom prst="rect">
                      <a:avLst/>
                    </a:prstGeom>
                    <a:noFill/>
                    <a:ln>
                      <a:noFill/>
                    </a:ln>
                  </pic:spPr>
                </pic:pic>
              </a:graphicData>
            </a:graphic>
          </wp:anchor>
        </w:drawing>
      </w:r>
    </w:p>
    <w:p/>
    <w:p/>
    <w:p/>
    <w:p/>
    <w:p/>
    <w:p/>
    <w:p/>
    <w:p/>
    <w:p/>
    <w:p/>
    <w:p/>
    <w:p/>
    <w:p/>
    <w:p/>
    <w:p/>
    <w:p/>
    <w:p/>
    <w:p/>
    <w:p/>
    <w:p/>
    <w:p/>
    <w:p/>
    <w:p/>
    <w:p/>
    <w:p/>
    <w:p/>
    <w:p/>
    <w:p/>
    <w:p/>
    <w:p/>
    <w:p/>
    <w:p/>
    <w:p/>
    <w:p/>
    <w:p/>
    <w:p/>
    <w:p/>
    <w:p/>
    <w:p/>
    <w:p/>
    <w:p/>
    <w:p>
      <w:pPr>
        <w:tabs>
          <w:tab w:val="right" w:pos="8306"/>
        </w:tabs>
        <w:jc w:val="left"/>
      </w:pPr>
      <w:r>
        <w:rPr>
          <w:rFonts w:hint="eastAsia"/>
        </w:rPr>
        <w:tab/>
      </w:r>
    </w:p>
    <w:p>
      <w:r>
        <w:drawing>
          <wp:anchor distT="0" distB="0" distL="114300" distR="114300" simplePos="0" relativeHeight="251680768" behindDoc="0" locked="0" layoutInCell="1" allowOverlap="1">
            <wp:simplePos x="0" y="0"/>
            <wp:positionH relativeFrom="column">
              <wp:posOffset>-226695</wp:posOffset>
            </wp:positionH>
            <wp:positionV relativeFrom="paragraph">
              <wp:posOffset>176530</wp:posOffset>
            </wp:positionV>
            <wp:extent cx="5409565" cy="7363460"/>
            <wp:effectExtent l="0" t="0" r="0" b="0"/>
            <wp:wrapSquare wrapText="bothSides"/>
            <wp:docPr id="5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7"/>
                    <pic:cNvPicPr>
                      <a:picLocks noChangeAspect="1"/>
                    </pic:cNvPicPr>
                  </pic:nvPicPr>
                  <pic:blipFill>
                    <a:blip r:embed="rId53"/>
                    <a:srcRect t="3752"/>
                    <a:stretch>
                      <a:fillRect/>
                    </a:stretch>
                  </pic:blipFill>
                  <pic:spPr>
                    <a:xfrm>
                      <a:off x="0" y="0"/>
                      <a:ext cx="5409565" cy="7363460"/>
                    </a:xfrm>
                    <a:prstGeom prst="rect">
                      <a:avLst/>
                    </a:prstGeom>
                    <a:noFill/>
                    <a:ln>
                      <a:noFill/>
                    </a:ln>
                  </pic:spPr>
                </pic:pic>
              </a:graphicData>
            </a:graphic>
          </wp:anchor>
        </w:drawing>
      </w:r>
    </w:p>
    <w:p>
      <w:pPr>
        <w:pStyle w:val="2"/>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9"/>
        <w:spacing w:line="360" w:lineRule="auto"/>
        <w:rPr>
          <w:kern w:val="2"/>
        </w:rPr>
      </w:pPr>
      <w:bookmarkStart w:id="65" w:name="_Toc12071"/>
      <w:r>
        <w:rPr>
          <w:kern w:val="2"/>
        </w:rPr>
        <w:t>第六章 验收执行标准</w:t>
      </w:r>
      <w:bookmarkEnd w:id="65"/>
    </w:p>
    <w:p>
      <w:pPr>
        <w:spacing w:line="360" w:lineRule="auto"/>
        <w:contextualSpacing/>
        <w:outlineLvl w:val="1"/>
        <w:rPr>
          <w:rStyle w:val="59"/>
        </w:rPr>
      </w:pPr>
      <w:bookmarkStart w:id="66" w:name="_Toc31869"/>
      <w:r>
        <w:rPr>
          <w:rStyle w:val="59"/>
        </w:rPr>
        <w:t>6.1 污染物排放标准</w:t>
      </w:r>
      <w:bookmarkEnd w:id="66"/>
    </w:p>
    <w:p>
      <w:pPr>
        <w:pStyle w:val="11"/>
        <w:rPr>
          <w:rStyle w:val="60"/>
          <w:b w:val="0"/>
          <w:bCs w:val="0"/>
        </w:rPr>
      </w:pPr>
      <w:bookmarkStart w:id="67" w:name="_Toc26657"/>
      <w:r>
        <w:t>6.1.1 废气</w:t>
      </w:r>
      <w:bookmarkEnd w:id="67"/>
    </w:p>
    <w:p>
      <w:pPr>
        <w:spacing w:line="360" w:lineRule="auto"/>
        <w:ind w:firstLine="480" w:firstLineChars="200"/>
        <w:contextualSpacing/>
        <w:rPr>
          <w:sz w:val="24"/>
          <w:highlight w:val="yellow"/>
        </w:rPr>
      </w:pPr>
      <w:r>
        <w:rPr>
          <w:sz w:val="24"/>
        </w:rPr>
        <w:t>有组织废气、无组织废气中各项监测因子分别执行表6.1-1中相关要求。</w:t>
      </w:r>
    </w:p>
    <w:p>
      <w:pPr>
        <w:pStyle w:val="23"/>
        <w:ind w:firstLine="482"/>
        <w:jc w:val="center"/>
      </w:pPr>
      <w:r>
        <w:rPr>
          <w:rFonts w:eastAsia="宋"/>
          <w:b/>
          <w:bCs/>
          <w:color w:val="000000"/>
        </w:rPr>
        <w:t>表</w:t>
      </w:r>
      <w:r>
        <w:rPr>
          <w:b/>
          <w:bCs/>
          <w:color w:val="000000"/>
        </w:rPr>
        <w:t>6.1-1 废气评价标准</w:t>
      </w:r>
    </w:p>
    <w:tbl>
      <w:tblPr>
        <w:tblStyle w:val="39"/>
        <w:tblW w:w="888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851"/>
        <w:gridCol w:w="1418"/>
        <w:gridCol w:w="992"/>
        <w:gridCol w:w="1328"/>
        <w:gridCol w:w="429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10" w:hRule="atLeast"/>
          <w:tblHeader/>
          <w:jc w:val="center"/>
        </w:trPr>
        <w:tc>
          <w:tcPr>
            <w:tcW w:w="2269" w:type="dxa"/>
            <w:gridSpan w:val="2"/>
            <w:tcBorders>
              <w:tl2br w:val="nil"/>
              <w:tr2bl w:val="nil"/>
            </w:tcBorders>
            <w:vAlign w:val="center"/>
          </w:tcPr>
          <w:p>
            <w:pPr>
              <w:spacing w:line="340" w:lineRule="exact"/>
              <w:jc w:val="center"/>
              <w:rPr>
                <w:b/>
                <w:bCs/>
              </w:rPr>
            </w:pPr>
            <w:r>
              <w:rPr>
                <w:rFonts w:hint="eastAsia"/>
                <w:b/>
                <w:bCs/>
              </w:rPr>
              <w:t>监测项目</w:t>
            </w:r>
          </w:p>
        </w:tc>
        <w:tc>
          <w:tcPr>
            <w:tcW w:w="992" w:type="dxa"/>
            <w:tcBorders>
              <w:tl2br w:val="nil"/>
              <w:tr2bl w:val="nil"/>
            </w:tcBorders>
            <w:vAlign w:val="center"/>
          </w:tcPr>
          <w:p>
            <w:pPr>
              <w:spacing w:line="340" w:lineRule="exact"/>
              <w:jc w:val="center"/>
              <w:rPr>
                <w:b/>
                <w:bCs/>
              </w:rPr>
            </w:pPr>
            <w:r>
              <w:rPr>
                <w:b/>
                <w:bCs/>
              </w:rPr>
              <w:t>监测位置</w:t>
            </w:r>
          </w:p>
        </w:tc>
        <w:tc>
          <w:tcPr>
            <w:tcW w:w="1328" w:type="dxa"/>
            <w:tcBorders>
              <w:tl2br w:val="nil"/>
              <w:tr2bl w:val="nil"/>
            </w:tcBorders>
            <w:vAlign w:val="center"/>
          </w:tcPr>
          <w:p>
            <w:pPr>
              <w:spacing w:line="340" w:lineRule="exact"/>
              <w:jc w:val="center"/>
              <w:rPr>
                <w:b/>
                <w:bCs/>
              </w:rPr>
            </w:pPr>
            <w:r>
              <w:rPr>
                <w:b/>
                <w:bCs/>
              </w:rPr>
              <w:t>标准值</w:t>
            </w:r>
          </w:p>
        </w:tc>
        <w:tc>
          <w:tcPr>
            <w:tcW w:w="4299" w:type="dxa"/>
            <w:tcBorders>
              <w:tl2br w:val="nil"/>
              <w:tr2bl w:val="nil"/>
            </w:tcBorders>
            <w:vAlign w:val="center"/>
          </w:tcPr>
          <w:p>
            <w:pPr>
              <w:spacing w:line="340" w:lineRule="exact"/>
              <w:jc w:val="center"/>
            </w:pPr>
            <w:r>
              <w:rPr>
                <w:b/>
                <w:bCs/>
              </w:rPr>
              <w:t>执行标准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851" w:type="dxa"/>
            <w:vMerge w:val="restart"/>
            <w:tcBorders>
              <w:tl2br w:val="nil"/>
              <w:tr2bl w:val="nil"/>
            </w:tcBorders>
            <w:vAlign w:val="center"/>
          </w:tcPr>
          <w:p>
            <w:pPr>
              <w:spacing w:line="340" w:lineRule="exact"/>
              <w:jc w:val="center"/>
            </w:pPr>
            <w:r>
              <w:t>有组织</w:t>
            </w:r>
          </w:p>
          <w:p>
            <w:pPr>
              <w:spacing w:line="340" w:lineRule="exact"/>
              <w:jc w:val="center"/>
            </w:pPr>
            <w:r>
              <w:t>废气</w:t>
            </w:r>
          </w:p>
        </w:tc>
        <w:tc>
          <w:tcPr>
            <w:tcW w:w="1418" w:type="dxa"/>
            <w:tcBorders>
              <w:tl2br w:val="nil"/>
              <w:tr2bl w:val="nil"/>
            </w:tcBorders>
            <w:vAlign w:val="center"/>
          </w:tcPr>
          <w:p>
            <w:pPr>
              <w:spacing w:line="340" w:lineRule="exact"/>
              <w:jc w:val="center"/>
            </w:pPr>
            <w:r>
              <w:rPr>
                <w:rFonts w:hint="eastAsia"/>
              </w:rPr>
              <w:t>氯气</w:t>
            </w:r>
          </w:p>
        </w:tc>
        <w:tc>
          <w:tcPr>
            <w:tcW w:w="992" w:type="dxa"/>
            <w:vMerge w:val="restart"/>
            <w:tcBorders>
              <w:tl2br w:val="nil"/>
              <w:tr2bl w:val="nil"/>
            </w:tcBorders>
            <w:vAlign w:val="center"/>
          </w:tcPr>
          <w:p>
            <w:pPr>
              <w:jc w:val="center"/>
            </w:pPr>
            <w:r>
              <w:rPr>
                <w:rFonts w:hint="eastAsia"/>
              </w:rPr>
              <w:t>P1</w:t>
            </w:r>
            <w:r>
              <w:t>排气筒出口</w:t>
            </w:r>
          </w:p>
        </w:tc>
        <w:tc>
          <w:tcPr>
            <w:tcW w:w="1328" w:type="dxa"/>
            <w:tcBorders>
              <w:tl2br w:val="nil"/>
              <w:tr2bl w:val="nil"/>
            </w:tcBorders>
            <w:vAlign w:val="center"/>
          </w:tcPr>
          <w:p>
            <w:pPr>
              <w:autoSpaceDE w:val="0"/>
              <w:autoSpaceDN w:val="0"/>
              <w:adjustRightInd w:val="0"/>
              <w:snapToGrid w:val="0"/>
              <w:jc w:val="center"/>
              <w:textAlignment w:val="baseline"/>
            </w:pPr>
            <w:r>
              <w:t>5</w:t>
            </w:r>
            <w:r>
              <w:rPr>
                <w:rFonts w:hint="eastAsia"/>
              </w:rPr>
              <w:t>.0</w:t>
            </w:r>
            <w:r>
              <w:t>mg/m</w:t>
            </w:r>
            <w:r>
              <w:rPr>
                <w:vertAlign w:val="superscript"/>
              </w:rPr>
              <w:t>3</w:t>
            </w:r>
          </w:p>
        </w:tc>
        <w:tc>
          <w:tcPr>
            <w:tcW w:w="4299" w:type="dxa"/>
            <w:vMerge w:val="restart"/>
            <w:tcBorders>
              <w:tl2br w:val="nil"/>
              <w:tr2bl w:val="nil"/>
            </w:tcBorders>
            <w:vAlign w:val="center"/>
          </w:tcPr>
          <w:p>
            <w:pPr>
              <w:autoSpaceDE w:val="0"/>
              <w:autoSpaceDN w:val="0"/>
              <w:adjustRightInd w:val="0"/>
              <w:snapToGrid w:val="0"/>
              <w:spacing w:line="360" w:lineRule="auto"/>
              <w:jc w:val="center"/>
              <w:textAlignment w:val="baseline"/>
            </w:pPr>
            <w:r>
              <w:rPr>
                <w:rFonts w:hint="eastAsia"/>
                <w:color w:val="auto"/>
              </w:rPr>
              <w:t>《石油化学工业污染物排放标准》（GB31571-2015）</w:t>
            </w:r>
            <w:r>
              <w:rPr>
                <w:rFonts w:hint="eastAsia"/>
                <w:color w:val="auto"/>
                <w:lang w:val="en-US" w:eastAsia="zh-CN"/>
              </w:rPr>
              <w:t>2024修改单</w:t>
            </w:r>
            <w:r>
              <w:rPr>
                <w:rFonts w:hint="eastAsia"/>
                <w:color w:val="auto"/>
              </w:rPr>
              <w:t>表4中相关要求</w:t>
            </w:r>
            <w:r>
              <w:rPr>
                <w:rFonts w:hint="eastAsia"/>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851" w:type="dxa"/>
            <w:vMerge w:val="continue"/>
            <w:tcBorders>
              <w:tl2br w:val="nil"/>
              <w:tr2bl w:val="nil"/>
            </w:tcBorders>
            <w:vAlign w:val="center"/>
          </w:tcPr>
          <w:p>
            <w:pPr>
              <w:spacing w:line="340" w:lineRule="exact"/>
              <w:jc w:val="center"/>
            </w:pPr>
          </w:p>
        </w:tc>
        <w:tc>
          <w:tcPr>
            <w:tcW w:w="1418" w:type="dxa"/>
            <w:tcBorders>
              <w:tl2br w:val="nil"/>
              <w:tr2bl w:val="nil"/>
            </w:tcBorders>
            <w:vAlign w:val="center"/>
          </w:tcPr>
          <w:p>
            <w:pPr>
              <w:spacing w:line="340" w:lineRule="exact"/>
              <w:jc w:val="center"/>
            </w:pPr>
            <w:r>
              <w:rPr>
                <w:rFonts w:hint="eastAsia"/>
              </w:rPr>
              <w:t>氯化氢</w:t>
            </w:r>
          </w:p>
        </w:tc>
        <w:tc>
          <w:tcPr>
            <w:tcW w:w="992" w:type="dxa"/>
            <w:vMerge w:val="continue"/>
            <w:tcBorders>
              <w:tl2br w:val="nil"/>
              <w:tr2bl w:val="nil"/>
            </w:tcBorders>
            <w:vAlign w:val="center"/>
          </w:tcPr>
          <w:p>
            <w:pPr>
              <w:spacing w:line="340" w:lineRule="exact"/>
              <w:jc w:val="center"/>
            </w:pPr>
          </w:p>
        </w:tc>
        <w:tc>
          <w:tcPr>
            <w:tcW w:w="1328" w:type="dxa"/>
            <w:tcBorders>
              <w:tl2br w:val="nil"/>
              <w:tr2bl w:val="nil"/>
            </w:tcBorders>
            <w:vAlign w:val="center"/>
          </w:tcPr>
          <w:p>
            <w:pPr>
              <w:autoSpaceDE w:val="0"/>
              <w:autoSpaceDN w:val="0"/>
              <w:adjustRightInd w:val="0"/>
              <w:snapToGrid w:val="0"/>
              <w:jc w:val="center"/>
              <w:textAlignment w:val="baseline"/>
            </w:pPr>
            <w:r>
              <w:t>3</w:t>
            </w:r>
            <w:r>
              <w:rPr>
                <w:rFonts w:hint="eastAsia"/>
              </w:rPr>
              <w:t>0</w:t>
            </w:r>
            <w:r>
              <w:t>mg/m</w:t>
            </w:r>
            <w:r>
              <w:rPr>
                <w:vertAlign w:val="superscript"/>
              </w:rPr>
              <w:t>3</w:t>
            </w:r>
          </w:p>
        </w:tc>
        <w:tc>
          <w:tcPr>
            <w:tcW w:w="4299" w:type="dxa"/>
            <w:vMerge w:val="continue"/>
            <w:tcBorders>
              <w:tl2br w:val="nil"/>
              <w:tr2bl w:val="nil"/>
            </w:tcBorders>
            <w:vAlign w:val="center"/>
          </w:tcPr>
          <w:p>
            <w:pPr>
              <w:autoSpaceDE w:val="0"/>
              <w:autoSpaceDN w:val="0"/>
              <w:adjustRightInd w:val="0"/>
              <w:snapToGrid w:val="0"/>
              <w:jc w:val="center"/>
              <w:textAlignment w:val="baseline"/>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851" w:type="dxa"/>
            <w:vMerge w:val="continue"/>
            <w:tcBorders>
              <w:tl2br w:val="nil"/>
              <w:tr2bl w:val="nil"/>
            </w:tcBorders>
            <w:vAlign w:val="center"/>
          </w:tcPr>
          <w:p>
            <w:pPr>
              <w:spacing w:line="340" w:lineRule="exact"/>
              <w:jc w:val="center"/>
            </w:pPr>
          </w:p>
        </w:tc>
        <w:tc>
          <w:tcPr>
            <w:tcW w:w="1418" w:type="dxa"/>
            <w:tcBorders>
              <w:tl2br w:val="nil"/>
              <w:tr2bl w:val="nil"/>
            </w:tcBorders>
            <w:vAlign w:val="center"/>
          </w:tcPr>
          <w:p>
            <w:pPr>
              <w:spacing w:line="340" w:lineRule="exact"/>
              <w:jc w:val="center"/>
            </w:pPr>
            <w:r>
              <w:rPr>
                <w:rFonts w:hint="eastAsia"/>
              </w:rPr>
              <w:t>VOCs（以非甲烷总烃计）</w:t>
            </w:r>
          </w:p>
        </w:tc>
        <w:tc>
          <w:tcPr>
            <w:tcW w:w="992" w:type="dxa"/>
            <w:vMerge w:val="continue"/>
            <w:tcBorders>
              <w:tl2br w:val="nil"/>
              <w:tr2bl w:val="nil"/>
            </w:tcBorders>
            <w:vAlign w:val="center"/>
          </w:tcPr>
          <w:p>
            <w:pPr>
              <w:spacing w:line="340" w:lineRule="exact"/>
              <w:jc w:val="center"/>
            </w:pPr>
          </w:p>
        </w:tc>
        <w:tc>
          <w:tcPr>
            <w:tcW w:w="1328" w:type="dxa"/>
            <w:tcBorders>
              <w:tl2br w:val="nil"/>
              <w:tr2bl w:val="nil"/>
            </w:tcBorders>
            <w:vAlign w:val="center"/>
          </w:tcPr>
          <w:p>
            <w:pPr>
              <w:autoSpaceDE w:val="0"/>
              <w:autoSpaceDN w:val="0"/>
              <w:adjustRightInd w:val="0"/>
              <w:snapToGrid w:val="0"/>
              <w:jc w:val="center"/>
              <w:textAlignment w:val="baseline"/>
            </w:pPr>
            <w:r>
              <w:rPr>
                <w:rFonts w:hint="eastAsia"/>
              </w:rPr>
              <w:t>60</w:t>
            </w:r>
            <w:r>
              <w:t>mg/m</w:t>
            </w:r>
            <w:r>
              <w:rPr>
                <w:vertAlign w:val="superscript"/>
              </w:rPr>
              <w:t>3</w:t>
            </w:r>
          </w:p>
        </w:tc>
        <w:tc>
          <w:tcPr>
            <w:tcW w:w="4299" w:type="dxa"/>
            <w:tcBorders>
              <w:tl2br w:val="nil"/>
              <w:tr2bl w:val="nil"/>
            </w:tcBorders>
            <w:vAlign w:val="center"/>
          </w:tcPr>
          <w:p>
            <w:pPr>
              <w:autoSpaceDE w:val="0"/>
              <w:autoSpaceDN w:val="0"/>
              <w:adjustRightInd w:val="0"/>
              <w:snapToGrid w:val="0"/>
              <w:spacing w:line="360" w:lineRule="auto"/>
              <w:jc w:val="center"/>
              <w:textAlignment w:val="baseline"/>
            </w:pPr>
            <w:r>
              <w:t>《挥发性有机物排放标准 第6部分 有机化工行业》（DB37/ 2801.6-2018）</w:t>
            </w:r>
            <w:r>
              <w:rPr>
                <w:rFonts w:hint="eastAsia"/>
              </w:rPr>
              <w:t>表1中其他行业Ⅱ时段标准要求。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67" w:hRule="atLeast"/>
          <w:jc w:val="center"/>
        </w:trPr>
        <w:tc>
          <w:tcPr>
            <w:tcW w:w="851" w:type="dxa"/>
            <w:vMerge w:val="restart"/>
            <w:tcBorders>
              <w:tl2br w:val="nil"/>
              <w:tr2bl w:val="nil"/>
            </w:tcBorders>
            <w:vAlign w:val="center"/>
          </w:tcPr>
          <w:p>
            <w:pPr>
              <w:spacing w:line="340" w:lineRule="exact"/>
              <w:jc w:val="center"/>
            </w:pPr>
            <w:r>
              <w:t>无组织</w:t>
            </w:r>
          </w:p>
          <w:p>
            <w:pPr>
              <w:spacing w:line="340" w:lineRule="exact"/>
              <w:jc w:val="center"/>
            </w:pPr>
            <w:r>
              <w:t>废气</w:t>
            </w:r>
          </w:p>
        </w:tc>
        <w:tc>
          <w:tcPr>
            <w:tcW w:w="1418" w:type="dxa"/>
            <w:tcBorders>
              <w:tl2br w:val="nil"/>
              <w:tr2bl w:val="nil"/>
            </w:tcBorders>
            <w:vAlign w:val="center"/>
          </w:tcPr>
          <w:p>
            <w:pPr>
              <w:spacing w:line="340" w:lineRule="exact"/>
              <w:jc w:val="center"/>
            </w:pPr>
            <w:r>
              <w:rPr>
                <w:rFonts w:hint="eastAsia"/>
              </w:rPr>
              <w:t>氯气</w:t>
            </w:r>
          </w:p>
        </w:tc>
        <w:tc>
          <w:tcPr>
            <w:tcW w:w="992" w:type="dxa"/>
            <w:vMerge w:val="restart"/>
            <w:tcBorders>
              <w:tl2br w:val="nil"/>
              <w:tr2bl w:val="nil"/>
            </w:tcBorders>
            <w:vAlign w:val="center"/>
          </w:tcPr>
          <w:p>
            <w:pPr>
              <w:pStyle w:val="88"/>
              <w:kinsoku w:val="0"/>
              <w:overflowPunct w:val="0"/>
              <w:spacing w:before="113"/>
              <w:ind w:left="104" w:right="-1"/>
              <w:rPr>
                <w:rFonts w:ascii="Times New Roman" w:hAnsi="Times New Roman" w:cs="Times New Roman"/>
                <w:lang w:eastAsia="zh-CN"/>
              </w:rPr>
            </w:pPr>
            <w:r>
              <w:rPr>
                <w:rFonts w:ascii="Times New Roman" w:hAnsi="Times New Roman" w:cs="Times New Roman"/>
                <w:sz w:val="21"/>
                <w:szCs w:val="21"/>
                <w:lang w:eastAsia="zh-CN"/>
              </w:rPr>
              <w:t>厂界上风向布设</w:t>
            </w:r>
            <w:r>
              <w:rPr>
                <w:rFonts w:ascii="Times New Roman" w:hAnsi="Times New Roman" w:cs="Times New Roman"/>
                <w:spacing w:val="-67"/>
                <w:sz w:val="21"/>
                <w:szCs w:val="21"/>
                <w:lang w:eastAsia="zh-CN"/>
              </w:rPr>
              <w:t xml:space="preserve"> </w:t>
            </w:r>
            <w:r>
              <w:rPr>
                <w:rFonts w:ascii="Times New Roman" w:hAnsi="Times New Roman" w:cs="Times New Roman"/>
                <w:sz w:val="21"/>
                <w:szCs w:val="21"/>
                <w:lang w:eastAsia="zh-CN"/>
              </w:rPr>
              <w:t>1个监测点、下风向布设</w:t>
            </w:r>
            <w:r>
              <w:rPr>
                <w:rFonts w:ascii="Times New Roman" w:hAnsi="Times New Roman" w:cs="Times New Roman"/>
                <w:spacing w:val="-60"/>
                <w:sz w:val="21"/>
                <w:szCs w:val="21"/>
                <w:lang w:eastAsia="zh-CN"/>
              </w:rPr>
              <w:t xml:space="preserve"> 3</w:t>
            </w:r>
            <w:r>
              <w:rPr>
                <w:rFonts w:ascii="Times New Roman" w:hAnsi="Times New Roman" w:cs="Times New Roman"/>
                <w:sz w:val="21"/>
                <w:szCs w:val="21"/>
                <w:lang w:eastAsia="zh-CN"/>
              </w:rPr>
              <w:t>个监测点</w:t>
            </w:r>
          </w:p>
        </w:tc>
        <w:tc>
          <w:tcPr>
            <w:tcW w:w="1328" w:type="dxa"/>
            <w:tcBorders>
              <w:tl2br w:val="nil"/>
              <w:tr2bl w:val="nil"/>
            </w:tcBorders>
            <w:vAlign w:val="center"/>
          </w:tcPr>
          <w:p>
            <w:pPr>
              <w:autoSpaceDE w:val="0"/>
              <w:autoSpaceDN w:val="0"/>
              <w:adjustRightInd w:val="0"/>
              <w:snapToGrid w:val="0"/>
              <w:jc w:val="center"/>
              <w:textAlignment w:val="baseline"/>
            </w:pPr>
            <w:r>
              <w:rPr>
                <w:rFonts w:hint="eastAsia"/>
              </w:rPr>
              <w:t>0.4mg/m</w:t>
            </w:r>
            <w:r>
              <w:rPr>
                <w:rFonts w:hint="eastAsia"/>
                <w:vertAlign w:val="superscript"/>
              </w:rPr>
              <w:t>3</w:t>
            </w:r>
          </w:p>
        </w:tc>
        <w:tc>
          <w:tcPr>
            <w:tcW w:w="4299" w:type="dxa"/>
            <w:tcBorders>
              <w:tl2br w:val="nil"/>
              <w:tr2bl w:val="nil"/>
            </w:tcBorders>
            <w:vAlign w:val="center"/>
          </w:tcPr>
          <w:p>
            <w:pPr>
              <w:autoSpaceDE w:val="0"/>
              <w:autoSpaceDN w:val="0"/>
              <w:adjustRightInd w:val="0"/>
              <w:snapToGrid w:val="0"/>
              <w:jc w:val="center"/>
              <w:textAlignment w:val="baseline"/>
            </w:pPr>
            <w:r>
              <w:rPr>
                <w:rFonts w:hint="eastAsia"/>
              </w:rPr>
              <w:t>《大气污染物综合排放标准》 (GB16297-1996)表2中厂界浓度限值要求。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67" w:hRule="atLeast"/>
          <w:jc w:val="center"/>
        </w:trPr>
        <w:tc>
          <w:tcPr>
            <w:tcW w:w="851" w:type="dxa"/>
            <w:vMerge w:val="continue"/>
            <w:tcBorders>
              <w:tl2br w:val="nil"/>
              <w:tr2bl w:val="nil"/>
            </w:tcBorders>
            <w:vAlign w:val="center"/>
          </w:tcPr>
          <w:p>
            <w:pPr>
              <w:spacing w:line="340" w:lineRule="exact"/>
              <w:jc w:val="center"/>
            </w:pPr>
          </w:p>
        </w:tc>
        <w:tc>
          <w:tcPr>
            <w:tcW w:w="1418" w:type="dxa"/>
            <w:tcBorders>
              <w:tl2br w:val="nil"/>
              <w:tr2bl w:val="nil"/>
            </w:tcBorders>
            <w:vAlign w:val="center"/>
          </w:tcPr>
          <w:p>
            <w:pPr>
              <w:spacing w:line="340" w:lineRule="exact"/>
              <w:jc w:val="center"/>
            </w:pPr>
            <w:r>
              <w:rPr>
                <w:rFonts w:hint="eastAsia"/>
              </w:rPr>
              <w:t>氯化氢</w:t>
            </w:r>
          </w:p>
        </w:tc>
        <w:tc>
          <w:tcPr>
            <w:tcW w:w="992" w:type="dxa"/>
            <w:vMerge w:val="continue"/>
            <w:tcBorders>
              <w:tl2br w:val="nil"/>
              <w:tr2bl w:val="nil"/>
            </w:tcBorders>
            <w:vAlign w:val="center"/>
          </w:tcPr>
          <w:p>
            <w:pPr>
              <w:pStyle w:val="88"/>
              <w:kinsoku w:val="0"/>
              <w:overflowPunct w:val="0"/>
              <w:spacing w:before="113"/>
              <w:ind w:left="104" w:right="-1"/>
              <w:rPr>
                <w:rFonts w:ascii="Times New Roman" w:hAnsi="Times New Roman" w:cs="Times New Roman"/>
                <w:sz w:val="21"/>
                <w:szCs w:val="21"/>
              </w:rPr>
            </w:pPr>
          </w:p>
        </w:tc>
        <w:tc>
          <w:tcPr>
            <w:tcW w:w="1328" w:type="dxa"/>
            <w:tcBorders>
              <w:tl2br w:val="nil"/>
              <w:tr2bl w:val="nil"/>
            </w:tcBorders>
            <w:vAlign w:val="center"/>
          </w:tcPr>
          <w:p>
            <w:pPr>
              <w:autoSpaceDE w:val="0"/>
              <w:autoSpaceDN w:val="0"/>
              <w:adjustRightInd w:val="0"/>
              <w:snapToGrid w:val="0"/>
              <w:jc w:val="center"/>
              <w:textAlignment w:val="baseline"/>
            </w:pPr>
            <w:r>
              <w:rPr>
                <w:rFonts w:hint="eastAsia"/>
              </w:rPr>
              <w:t>0.2</w:t>
            </w:r>
            <w:r>
              <w:t>mg/m</w:t>
            </w:r>
            <w:r>
              <w:rPr>
                <w:vertAlign w:val="superscript"/>
              </w:rPr>
              <w:t>3</w:t>
            </w:r>
          </w:p>
        </w:tc>
        <w:tc>
          <w:tcPr>
            <w:tcW w:w="4299" w:type="dxa"/>
            <w:tcBorders>
              <w:tl2br w:val="nil"/>
              <w:tr2bl w:val="nil"/>
            </w:tcBorders>
            <w:vAlign w:val="center"/>
          </w:tcPr>
          <w:p>
            <w:pPr>
              <w:autoSpaceDE w:val="0"/>
              <w:autoSpaceDN w:val="0"/>
              <w:adjustRightInd w:val="0"/>
              <w:snapToGrid w:val="0"/>
              <w:jc w:val="center"/>
              <w:textAlignment w:val="baseline"/>
            </w:pPr>
            <w:r>
              <w:rPr>
                <w:rFonts w:hint="eastAsia"/>
              </w:rPr>
              <w:t>氯化氢 满足《石油化学工业污染物排放标准》(GB31571-2015) 表7要求。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67" w:hRule="atLeast"/>
          <w:jc w:val="center"/>
        </w:trPr>
        <w:tc>
          <w:tcPr>
            <w:tcW w:w="851" w:type="dxa"/>
            <w:vMerge w:val="continue"/>
            <w:tcBorders>
              <w:tl2br w:val="nil"/>
              <w:tr2bl w:val="nil"/>
            </w:tcBorders>
            <w:vAlign w:val="center"/>
          </w:tcPr>
          <w:p>
            <w:pPr>
              <w:spacing w:line="340" w:lineRule="exact"/>
              <w:jc w:val="center"/>
            </w:pPr>
          </w:p>
        </w:tc>
        <w:tc>
          <w:tcPr>
            <w:tcW w:w="1418" w:type="dxa"/>
            <w:tcBorders>
              <w:tl2br w:val="nil"/>
              <w:tr2bl w:val="nil"/>
            </w:tcBorders>
            <w:vAlign w:val="center"/>
          </w:tcPr>
          <w:p>
            <w:pPr>
              <w:spacing w:line="340" w:lineRule="exact"/>
              <w:jc w:val="center"/>
            </w:pPr>
            <w:r>
              <w:rPr>
                <w:rFonts w:hint="eastAsia"/>
              </w:rPr>
              <w:t>VOCs（以非甲烷总烃计）</w:t>
            </w:r>
          </w:p>
        </w:tc>
        <w:tc>
          <w:tcPr>
            <w:tcW w:w="992" w:type="dxa"/>
            <w:vMerge w:val="continue"/>
            <w:tcBorders>
              <w:tl2br w:val="nil"/>
              <w:tr2bl w:val="nil"/>
            </w:tcBorders>
            <w:vAlign w:val="center"/>
          </w:tcPr>
          <w:p>
            <w:pPr>
              <w:jc w:val="center"/>
            </w:pPr>
          </w:p>
        </w:tc>
        <w:tc>
          <w:tcPr>
            <w:tcW w:w="1328" w:type="dxa"/>
            <w:tcBorders>
              <w:tl2br w:val="nil"/>
              <w:tr2bl w:val="nil"/>
            </w:tcBorders>
            <w:vAlign w:val="center"/>
          </w:tcPr>
          <w:p>
            <w:pPr>
              <w:autoSpaceDE w:val="0"/>
              <w:autoSpaceDN w:val="0"/>
              <w:adjustRightInd w:val="0"/>
              <w:snapToGrid w:val="0"/>
              <w:jc w:val="center"/>
              <w:textAlignment w:val="baseline"/>
            </w:pPr>
            <w:r>
              <w:rPr>
                <w:rFonts w:hint="eastAsia"/>
              </w:rPr>
              <w:t>2.0</w:t>
            </w:r>
            <w:r>
              <w:t>mg/m</w:t>
            </w:r>
            <w:r>
              <w:rPr>
                <w:vertAlign w:val="superscript"/>
              </w:rPr>
              <w:t>3</w:t>
            </w:r>
          </w:p>
        </w:tc>
        <w:tc>
          <w:tcPr>
            <w:tcW w:w="4299" w:type="dxa"/>
            <w:tcBorders>
              <w:tl2br w:val="nil"/>
              <w:tr2bl w:val="nil"/>
            </w:tcBorders>
            <w:vAlign w:val="center"/>
          </w:tcPr>
          <w:p>
            <w:pPr>
              <w:autoSpaceDE w:val="0"/>
              <w:autoSpaceDN w:val="0"/>
              <w:adjustRightInd w:val="0"/>
              <w:snapToGrid w:val="0"/>
              <w:spacing w:line="360" w:lineRule="auto"/>
              <w:jc w:val="center"/>
              <w:textAlignment w:val="baseline"/>
            </w:pPr>
            <w:r>
              <w:rPr>
                <w:rFonts w:hint="eastAsia"/>
              </w:rPr>
              <w:t>《挥发性有机物排放标准第6部分：有机化工行业》(DB37/2801.6- 2018)表3中的标准限值。</w:t>
            </w:r>
          </w:p>
        </w:tc>
      </w:tr>
    </w:tbl>
    <w:p>
      <w:pPr>
        <w:pStyle w:val="11"/>
      </w:pPr>
      <w:bookmarkStart w:id="68" w:name="_Toc8944"/>
      <w:r>
        <w:t>6.1.2 噪声</w:t>
      </w:r>
      <w:bookmarkEnd w:id="68"/>
    </w:p>
    <w:p>
      <w:pPr>
        <w:spacing w:line="360" w:lineRule="auto"/>
        <w:ind w:firstLine="480" w:firstLineChars="200"/>
        <w:rPr>
          <w:sz w:val="24"/>
        </w:rPr>
      </w:pPr>
      <w:r>
        <w:rPr>
          <w:sz w:val="24"/>
        </w:rPr>
        <w:t>厂界噪声执行《工业企业厂界环境噪声排放标准》（GB12348-2008）中3类区域标准，标准限值详见表 6.1-2。</w:t>
      </w:r>
    </w:p>
    <w:p>
      <w:pPr>
        <w:pStyle w:val="23"/>
        <w:ind w:firstLine="482"/>
        <w:jc w:val="center"/>
        <w:rPr>
          <w:b/>
          <w:bCs/>
        </w:rPr>
      </w:pPr>
      <w:r>
        <w:rPr>
          <w:rFonts w:eastAsia="宋"/>
          <w:b/>
          <w:bCs/>
          <w:color w:val="000000"/>
        </w:rPr>
        <w:t>表</w:t>
      </w:r>
      <w:r>
        <w:rPr>
          <w:b/>
          <w:bCs/>
          <w:color w:val="000000"/>
        </w:rPr>
        <w:t xml:space="preserve">6.1-2 </w:t>
      </w:r>
      <w:r>
        <w:rPr>
          <w:rFonts w:eastAsia="宋"/>
          <w:b/>
          <w:bCs/>
          <w:color w:val="000000"/>
        </w:rPr>
        <w:t>厂界噪声评价标准</w:t>
      </w:r>
    </w:p>
    <w:tbl>
      <w:tblPr>
        <w:tblStyle w:val="39"/>
        <w:tblW w:w="8677"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313"/>
        <w:gridCol w:w="947"/>
        <w:gridCol w:w="1298"/>
        <w:gridCol w:w="434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3" w:type="dxa"/>
            <w:tcBorders>
              <w:tl2br w:val="nil"/>
              <w:tr2bl w:val="nil"/>
            </w:tcBorders>
            <w:vAlign w:val="center"/>
          </w:tcPr>
          <w:p>
            <w:pPr>
              <w:widowControl/>
              <w:jc w:val="center"/>
              <w:rPr>
                <w:kern w:val="0"/>
              </w:rPr>
            </w:pPr>
            <w:r>
              <w:rPr>
                <w:rFonts w:eastAsia="宋"/>
                <w:b/>
                <w:bCs/>
                <w:color w:val="000000"/>
                <w:kern w:val="0"/>
              </w:rPr>
              <w:t>序号</w:t>
            </w:r>
          </w:p>
        </w:tc>
        <w:tc>
          <w:tcPr>
            <w:tcW w:w="1313" w:type="dxa"/>
            <w:tcBorders>
              <w:tl2br w:val="nil"/>
              <w:tr2bl w:val="nil"/>
            </w:tcBorders>
            <w:vAlign w:val="center"/>
          </w:tcPr>
          <w:p>
            <w:pPr>
              <w:widowControl/>
              <w:jc w:val="center"/>
              <w:rPr>
                <w:kern w:val="0"/>
              </w:rPr>
            </w:pPr>
            <w:r>
              <w:rPr>
                <w:rFonts w:eastAsia="宋"/>
                <w:b/>
                <w:bCs/>
                <w:color w:val="000000"/>
                <w:kern w:val="0"/>
              </w:rPr>
              <w:t>污染因子</w:t>
            </w:r>
          </w:p>
        </w:tc>
        <w:tc>
          <w:tcPr>
            <w:tcW w:w="947" w:type="dxa"/>
            <w:tcBorders>
              <w:tl2br w:val="nil"/>
              <w:tr2bl w:val="nil"/>
            </w:tcBorders>
            <w:vAlign w:val="center"/>
          </w:tcPr>
          <w:p>
            <w:pPr>
              <w:widowControl/>
              <w:jc w:val="center"/>
              <w:rPr>
                <w:kern w:val="0"/>
              </w:rPr>
            </w:pPr>
            <w:r>
              <w:rPr>
                <w:rFonts w:eastAsia="宋"/>
                <w:b/>
                <w:bCs/>
                <w:color w:val="000000"/>
                <w:kern w:val="0"/>
              </w:rPr>
              <w:t>单位</w:t>
            </w:r>
          </w:p>
        </w:tc>
        <w:tc>
          <w:tcPr>
            <w:tcW w:w="1298" w:type="dxa"/>
            <w:tcBorders>
              <w:tl2br w:val="nil"/>
              <w:tr2bl w:val="nil"/>
            </w:tcBorders>
            <w:vAlign w:val="center"/>
          </w:tcPr>
          <w:p>
            <w:pPr>
              <w:widowControl/>
              <w:jc w:val="center"/>
              <w:rPr>
                <w:kern w:val="0"/>
              </w:rPr>
            </w:pPr>
            <w:r>
              <w:rPr>
                <w:rFonts w:eastAsia="宋"/>
                <w:b/>
                <w:bCs/>
                <w:color w:val="000000"/>
                <w:kern w:val="0"/>
              </w:rPr>
              <w:t>标准限值</w:t>
            </w:r>
          </w:p>
        </w:tc>
        <w:tc>
          <w:tcPr>
            <w:tcW w:w="4346" w:type="dxa"/>
            <w:tcBorders>
              <w:tl2br w:val="nil"/>
              <w:tr2bl w:val="nil"/>
            </w:tcBorders>
            <w:vAlign w:val="center"/>
          </w:tcPr>
          <w:p>
            <w:pPr>
              <w:widowControl/>
              <w:jc w:val="center"/>
              <w:rPr>
                <w:kern w:val="0"/>
              </w:rPr>
            </w:pPr>
            <w:r>
              <w:rPr>
                <w:rFonts w:eastAsia="宋"/>
                <w:b/>
                <w:bCs/>
                <w:color w:val="000000"/>
                <w:kern w:val="0"/>
              </w:rPr>
              <w:t>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3" w:type="dxa"/>
            <w:tcBorders>
              <w:tl2br w:val="nil"/>
              <w:tr2bl w:val="nil"/>
            </w:tcBorders>
            <w:vAlign w:val="center"/>
          </w:tcPr>
          <w:p>
            <w:pPr>
              <w:widowControl/>
              <w:jc w:val="center"/>
              <w:rPr>
                <w:color w:val="000000"/>
                <w:kern w:val="0"/>
              </w:rPr>
            </w:pPr>
            <w:r>
              <w:rPr>
                <w:color w:val="000000"/>
                <w:kern w:val="0"/>
              </w:rPr>
              <w:t>1</w:t>
            </w:r>
          </w:p>
        </w:tc>
        <w:tc>
          <w:tcPr>
            <w:tcW w:w="1313" w:type="dxa"/>
            <w:tcBorders>
              <w:tl2br w:val="nil"/>
              <w:tr2bl w:val="nil"/>
            </w:tcBorders>
            <w:vAlign w:val="center"/>
          </w:tcPr>
          <w:p>
            <w:pPr>
              <w:widowControl/>
              <w:jc w:val="center"/>
              <w:rPr>
                <w:kern w:val="0"/>
              </w:rPr>
            </w:pPr>
            <w:r>
              <w:rPr>
                <w:rFonts w:eastAsia="宋"/>
                <w:color w:val="000000"/>
                <w:kern w:val="0"/>
              </w:rPr>
              <w:t>昼间噪声</w:t>
            </w:r>
          </w:p>
        </w:tc>
        <w:tc>
          <w:tcPr>
            <w:tcW w:w="947" w:type="dxa"/>
            <w:tcBorders>
              <w:tl2br w:val="nil"/>
              <w:tr2bl w:val="nil"/>
            </w:tcBorders>
            <w:vAlign w:val="center"/>
          </w:tcPr>
          <w:p>
            <w:pPr>
              <w:widowControl/>
              <w:jc w:val="center"/>
              <w:rPr>
                <w:kern w:val="0"/>
              </w:rPr>
            </w:pPr>
            <w:r>
              <w:rPr>
                <w:color w:val="000000"/>
                <w:kern w:val="0"/>
              </w:rPr>
              <w:t>dB(A)</w:t>
            </w:r>
          </w:p>
        </w:tc>
        <w:tc>
          <w:tcPr>
            <w:tcW w:w="1298" w:type="dxa"/>
            <w:tcBorders>
              <w:tl2br w:val="nil"/>
              <w:tr2bl w:val="nil"/>
            </w:tcBorders>
            <w:vAlign w:val="center"/>
          </w:tcPr>
          <w:p>
            <w:pPr>
              <w:widowControl/>
              <w:jc w:val="center"/>
              <w:rPr>
                <w:kern w:val="0"/>
              </w:rPr>
            </w:pPr>
            <w:r>
              <w:rPr>
                <w:color w:val="000000"/>
                <w:kern w:val="0"/>
              </w:rPr>
              <w:t>65</w:t>
            </w:r>
          </w:p>
        </w:tc>
        <w:tc>
          <w:tcPr>
            <w:tcW w:w="4346" w:type="dxa"/>
            <w:vMerge w:val="restart"/>
            <w:tcBorders>
              <w:tl2br w:val="nil"/>
              <w:tr2bl w:val="nil"/>
            </w:tcBorders>
            <w:vAlign w:val="center"/>
          </w:tcPr>
          <w:p>
            <w:pPr>
              <w:spacing w:line="340" w:lineRule="exact"/>
              <w:jc w:val="center"/>
              <w:rPr>
                <w:rFonts w:eastAsia="Times New Roman"/>
                <w:kern w:val="0"/>
              </w:rPr>
            </w:pPr>
            <w:r>
              <w:t>《工业企业厂界环境噪声排放标准》（GB12348-2008）中的3类标准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3" w:type="dxa"/>
            <w:tcBorders>
              <w:tl2br w:val="nil"/>
              <w:tr2bl w:val="nil"/>
            </w:tcBorders>
            <w:vAlign w:val="center"/>
          </w:tcPr>
          <w:p>
            <w:pPr>
              <w:widowControl/>
              <w:jc w:val="center"/>
              <w:rPr>
                <w:color w:val="000000"/>
                <w:kern w:val="0"/>
              </w:rPr>
            </w:pPr>
            <w:r>
              <w:rPr>
                <w:color w:val="000000"/>
                <w:kern w:val="0"/>
              </w:rPr>
              <w:t>2</w:t>
            </w:r>
          </w:p>
        </w:tc>
        <w:tc>
          <w:tcPr>
            <w:tcW w:w="1313" w:type="dxa"/>
            <w:tcBorders>
              <w:tl2br w:val="nil"/>
              <w:tr2bl w:val="nil"/>
            </w:tcBorders>
            <w:vAlign w:val="center"/>
          </w:tcPr>
          <w:p>
            <w:pPr>
              <w:widowControl/>
              <w:jc w:val="center"/>
              <w:rPr>
                <w:kern w:val="0"/>
              </w:rPr>
            </w:pPr>
            <w:r>
              <w:rPr>
                <w:rFonts w:eastAsia="宋"/>
                <w:color w:val="000000"/>
                <w:kern w:val="0"/>
              </w:rPr>
              <w:t>夜间噪声</w:t>
            </w:r>
          </w:p>
        </w:tc>
        <w:tc>
          <w:tcPr>
            <w:tcW w:w="947" w:type="dxa"/>
            <w:tcBorders>
              <w:tl2br w:val="nil"/>
              <w:tr2bl w:val="nil"/>
            </w:tcBorders>
            <w:vAlign w:val="center"/>
          </w:tcPr>
          <w:p>
            <w:pPr>
              <w:widowControl/>
              <w:jc w:val="center"/>
              <w:rPr>
                <w:kern w:val="0"/>
              </w:rPr>
            </w:pPr>
            <w:r>
              <w:rPr>
                <w:color w:val="000000"/>
                <w:kern w:val="0"/>
              </w:rPr>
              <w:t>dB(A)</w:t>
            </w:r>
          </w:p>
        </w:tc>
        <w:tc>
          <w:tcPr>
            <w:tcW w:w="1298" w:type="dxa"/>
            <w:tcBorders>
              <w:tl2br w:val="nil"/>
              <w:tr2bl w:val="nil"/>
            </w:tcBorders>
            <w:vAlign w:val="center"/>
          </w:tcPr>
          <w:p>
            <w:pPr>
              <w:widowControl/>
              <w:jc w:val="center"/>
              <w:rPr>
                <w:kern w:val="0"/>
              </w:rPr>
            </w:pPr>
            <w:r>
              <w:rPr>
                <w:color w:val="000000"/>
                <w:kern w:val="0"/>
              </w:rPr>
              <w:t>55</w:t>
            </w:r>
          </w:p>
        </w:tc>
        <w:tc>
          <w:tcPr>
            <w:tcW w:w="4346" w:type="dxa"/>
            <w:vMerge w:val="continue"/>
            <w:tcBorders>
              <w:tl2br w:val="nil"/>
              <w:tr2bl w:val="nil"/>
            </w:tcBorders>
            <w:vAlign w:val="center"/>
          </w:tcPr>
          <w:p>
            <w:pPr>
              <w:widowControl/>
              <w:jc w:val="center"/>
              <w:rPr>
                <w:rFonts w:eastAsia="Times New Roman"/>
                <w:kern w:val="0"/>
              </w:rPr>
            </w:pPr>
          </w:p>
        </w:tc>
      </w:tr>
    </w:tbl>
    <w:p>
      <w:pPr>
        <w:pStyle w:val="11"/>
      </w:pPr>
      <w:bookmarkStart w:id="69" w:name="_Toc29276"/>
      <w:r>
        <w:t>6.1.3 固废</w:t>
      </w:r>
      <w:bookmarkEnd w:id="69"/>
    </w:p>
    <w:p>
      <w:pPr>
        <w:spacing w:line="360" w:lineRule="auto"/>
        <w:ind w:firstLine="480" w:firstLineChars="200"/>
        <w:contextualSpacing/>
        <w:rPr>
          <w:sz w:val="24"/>
        </w:rPr>
      </w:pPr>
      <w:r>
        <w:rPr>
          <w:sz w:val="24"/>
        </w:rPr>
        <w:t>本项目产生的一般固体废物贮存、处置执行</w:t>
      </w:r>
      <w:r>
        <w:rPr>
          <w:rFonts w:hint="eastAsia"/>
          <w:sz w:val="24"/>
        </w:rPr>
        <w:t>《中华人民共和国固体废物污染环境防治法》（2020年9月）；</w:t>
      </w:r>
      <w:r>
        <w:rPr>
          <w:sz w:val="24"/>
        </w:rPr>
        <w:t>危险废物贮存执行《</w:t>
      </w:r>
      <w:r>
        <w:rPr>
          <w:rFonts w:hint="eastAsia"/>
          <w:sz w:val="24"/>
        </w:rPr>
        <w:t>危险废物贮存污染控制标准</w:t>
      </w:r>
      <w:r>
        <w:rPr>
          <w:sz w:val="24"/>
        </w:rPr>
        <w:t>》（GB18597-2023）。</w:t>
      </w:r>
    </w:p>
    <w:p>
      <w:pPr>
        <w:pStyle w:val="9"/>
        <w:spacing w:line="360" w:lineRule="auto"/>
        <w:rPr>
          <w:kern w:val="2"/>
        </w:rPr>
      </w:pPr>
      <w:bookmarkStart w:id="70" w:name="_Toc5732"/>
      <w:r>
        <w:rPr>
          <w:kern w:val="2"/>
        </w:rPr>
        <w:t>第七章 验收监测内容</w:t>
      </w:r>
      <w:bookmarkEnd w:id="70"/>
    </w:p>
    <w:p>
      <w:pPr>
        <w:pStyle w:val="23"/>
        <w:spacing w:after="0" w:line="360" w:lineRule="auto"/>
        <w:ind w:left="422" w:hanging="422" w:hangingChars="150"/>
        <w:outlineLvl w:val="1"/>
        <w:rPr>
          <w:rStyle w:val="59"/>
        </w:rPr>
      </w:pPr>
      <w:bookmarkStart w:id="71" w:name="_Toc12739"/>
      <w:r>
        <w:rPr>
          <w:rStyle w:val="59"/>
        </w:rPr>
        <w:t>7.1 有组织废气排放监测</w:t>
      </w:r>
      <w:bookmarkEnd w:id="71"/>
    </w:p>
    <w:p>
      <w:pPr>
        <w:spacing w:line="360" w:lineRule="auto"/>
        <w:ind w:firstLine="480" w:firstLineChars="200"/>
        <w:rPr>
          <w:sz w:val="24"/>
        </w:rPr>
      </w:pPr>
      <w:r>
        <w:rPr>
          <w:color w:val="auto"/>
          <w:sz w:val="24"/>
        </w:rPr>
        <w:t>有组织排放废气监测按照</w:t>
      </w:r>
      <w:r>
        <w:rPr>
          <w:rFonts w:hint="eastAsia"/>
          <w:color w:val="auto"/>
          <w:sz w:val="24"/>
        </w:rPr>
        <w:t>《石油化学工业污染物排放标准》（GB31571-2015）</w:t>
      </w:r>
      <w:r>
        <w:rPr>
          <w:rFonts w:hint="eastAsia"/>
          <w:color w:val="auto"/>
          <w:lang w:val="en-US" w:eastAsia="zh-CN"/>
        </w:rPr>
        <w:t>2024修改单</w:t>
      </w:r>
      <w:r>
        <w:rPr>
          <w:rFonts w:hint="eastAsia"/>
          <w:sz w:val="24"/>
        </w:rPr>
        <w:t>、</w:t>
      </w:r>
      <w:r>
        <w:rPr>
          <w:sz w:val="24"/>
        </w:rPr>
        <w:t>《挥发性有机物排放标准 第6部分 有机化工行业》（DB37/ 2801.6-2018）进行。具体监测点位、项目及频次见表7.1-1。</w:t>
      </w:r>
    </w:p>
    <w:p>
      <w:pPr>
        <w:jc w:val="center"/>
      </w:pPr>
      <w:r>
        <w:rPr>
          <w:b/>
          <w:bCs/>
        </w:rPr>
        <w:t>表 7.1-1 有组织排放废气监测内容</w:t>
      </w:r>
    </w:p>
    <w:tbl>
      <w:tblPr>
        <w:tblStyle w:val="39"/>
        <w:tblW w:w="86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4253"/>
        <w:gridCol w:w="198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6" w:type="dxa"/>
            <w:tcBorders>
              <w:tl2br w:val="nil"/>
              <w:tr2bl w:val="nil"/>
            </w:tcBorders>
            <w:vAlign w:val="center"/>
          </w:tcPr>
          <w:p>
            <w:pPr>
              <w:jc w:val="center"/>
            </w:pPr>
            <w:bookmarkStart w:id="72" w:name="_Toc29519"/>
            <w:r>
              <w:t>监测点位</w:t>
            </w:r>
          </w:p>
        </w:tc>
        <w:tc>
          <w:tcPr>
            <w:tcW w:w="4253" w:type="dxa"/>
            <w:tcBorders>
              <w:tl2br w:val="nil"/>
              <w:tr2bl w:val="nil"/>
            </w:tcBorders>
            <w:vAlign w:val="center"/>
          </w:tcPr>
          <w:p>
            <w:pPr>
              <w:jc w:val="center"/>
            </w:pPr>
            <w:r>
              <w:t>监测项目</w:t>
            </w:r>
          </w:p>
        </w:tc>
        <w:tc>
          <w:tcPr>
            <w:tcW w:w="1987" w:type="dxa"/>
            <w:tcBorders>
              <w:tl2br w:val="nil"/>
              <w:tr2bl w:val="nil"/>
            </w:tcBorders>
            <w:vAlign w:val="center"/>
          </w:tcPr>
          <w:p>
            <w:pPr>
              <w:jc w:val="center"/>
            </w:pPr>
            <w:r>
              <w:t>监测频次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6" w:type="dxa"/>
            <w:tcBorders>
              <w:tl2br w:val="nil"/>
              <w:tr2bl w:val="nil"/>
            </w:tcBorders>
            <w:vAlign w:val="center"/>
          </w:tcPr>
          <w:p>
            <w:pPr>
              <w:jc w:val="center"/>
            </w:pPr>
            <w:r>
              <w:rPr>
                <w:rFonts w:hint="eastAsia"/>
              </w:rPr>
              <w:t>P1</w:t>
            </w:r>
            <w:r>
              <w:t>排气筒出口（25m）</w:t>
            </w:r>
          </w:p>
        </w:tc>
        <w:tc>
          <w:tcPr>
            <w:tcW w:w="4253" w:type="dxa"/>
            <w:tcBorders>
              <w:tl2br w:val="nil"/>
              <w:tr2bl w:val="nil"/>
            </w:tcBorders>
            <w:vAlign w:val="center"/>
          </w:tcPr>
          <w:p>
            <w:pPr>
              <w:jc w:val="center"/>
            </w:pPr>
            <w:r>
              <w:t>废气流量、氯气、氯化氢</w:t>
            </w:r>
            <w:r>
              <w:rPr>
                <w:rFonts w:hint="eastAsia"/>
              </w:rPr>
              <w:t>、</w:t>
            </w:r>
            <w:r>
              <w:t>VOCs（以非甲烷总烃计）</w:t>
            </w:r>
            <w:r>
              <w:rPr>
                <w:rFonts w:hint="eastAsia"/>
              </w:rPr>
              <w:t>、</w:t>
            </w:r>
          </w:p>
        </w:tc>
        <w:tc>
          <w:tcPr>
            <w:tcW w:w="1987" w:type="dxa"/>
            <w:tcBorders>
              <w:tl2br w:val="nil"/>
              <w:tr2bl w:val="nil"/>
            </w:tcBorders>
            <w:vAlign w:val="center"/>
          </w:tcPr>
          <w:p>
            <w:pPr>
              <w:jc w:val="center"/>
            </w:pPr>
            <w:r>
              <w:t>3次/天，监测2天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6" w:type="dxa"/>
            <w:tcBorders>
              <w:tl2br w:val="nil"/>
              <w:tr2bl w:val="nil"/>
            </w:tcBorders>
            <w:vAlign w:val="center"/>
          </w:tcPr>
          <w:p>
            <w:pPr>
              <w:jc w:val="center"/>
            </w:pPr>
            <w:r>
              <w:rPr>
                <w:rFonts w:hint="eastAsia"/>
              </w:rPr>
              <w:t>备注</w:t>
            </w:r>
          </w:p>
        </w:tc>
        <w:tc>
          <w:tcPr>
            <w:tcW w:w="6240" w:type="dxa"/>
            <w:gridSpan w:val="2"/>
            <w:tcBorders>
              <w:tl2br w:val="nil"/>
              <w:tr2bl w:val="nil"/>
            </w:tcBorders>
            <w:vAlign w:val="center"/>
          </w:tcPr>
          <w:p>
            <w:pPr>
              <w:jc w:val="center"/>
            </w:pPr>
            <w:r>
              <w:rPr>
                <w:rFonts w:hint="eastAsia"/>
              </w:rPr>
              <w:t>P1</w:t>
            </w:r>
            <w:r>
              <w:t>排气筒</w:t>
            </w:r>
            <w:r>
              <w:rPr>
                <w:rFonts w:hint="eastAsia"/>
              </w:rPr>
              <w:t>进口应位置设限，不具备采样条件，未进行监测。</w:t>
            </w:r>
          </w:p>
        </w:tc>
      </w:tr>
      <w:bookmarkEnd w:id="72"/>
    </w:tbl>
    <w:p>
      <w:pPr>
        <w:pStyle w:val="10"/>
        <w:spacing w:line="360" w:lineRule="auto"/>
        <w:rPr>
          <w:rStyle w:val="59"/>
          <w:b/>
          <w:bCs w:val="0"/>
        </w:rPr>
      </w:pPr>
      <w:bookmarkStart w:id="73" w:name="_Toc31279"/>
      <w:r>
        <w:rPr>
          <w:rStyle w:val="59"/>
          <w:b/>
          <w:bCs w:val="0"/>
        </w:rPr>
        <w:t>7.2 无组织废气监测内容</w:t>
      </w:r>
      <w:bookmarkEnd w:id="73"/>
    </w:p>
    <w:p>
      <w:pPr>
        <w:pStyle w:val="23"/>
        <w:spacing w:after="0" w:line="360" w:lineRule="auto"/>
        <w:ind w:firstLine="480" w:firstLineChars="200"/>
        <w:contextualSpacing/>
        <w:rPr>
          <w:sz w:val="24"/>
        </w:rPr>
      </w:pPr>
      <w:r>
        <w:rPr>
          <w:sz w:val="24"/>
        </w:rPr>
        <w:t>厂界无组织排放废气监测按照《大气污染物无组织排放监测技术导则》（HJ/T55-2000）进行。根据监测当天的风向布点，厂界上风向一个点，下风向三个点。同时记录监测期间的风向、风速、气温、气压、总云、低云等气象参数。具体监测点位、项目及频次见表7.2-1。</w:t>
      </w:r>
    </w:p>
    <w:p>
      <w:pPr>
        <w:jc w:val="center"/>
        <w:rPr>
          <w:b/>
          <w:bCs/>
          <w:kern w:val="0"/>
        </w:rPr>
      </w:pPr>
      <w:r>
        <w:rPr>
          <w:b/>
          <w:bCs/>
          <w:kern w:val="0"/>
        </w:rPr>
        <w:t>表 7.2-1 无组织废气监测内容</w:t>
      </w:r>
    </w:p>
    <w:tbl>
      <w:tblPr>
        <w:tblStyle w:val="39"/>
        <w:tblW w:w="869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835"/>
        <w:gridCol w:w="4033"/>
        <w:gridCol w:w="182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35" w:type="dxa"/>
            <w:tcBorders>
              <w:tl2br w:val="nil"/>
              <w:tr2bl w:val="nil"/>
            </w:tcBorders>
            <w:vAlign w:val="center"/>
          </w:tcPr>
          <w:p>
            <w:pPr>
              <w:spacing w:line="360" w:lineRule="auto"/>
              <w:jc w:val="center"/>
              <w:rPr>
                <w:b/>
                <w:bCs/>
              </w:rPr>
            </w:pPr>
            <w:r>
              <w:rPr>
                <w:b/>
                <w:bCs/>
              </w:rPr>
              <w:t>监测点位</w:t>
            </w:r>
          </w:p>
        </w:tc>
        <w:tc>
          <w:tcPr>
            <w:tcW w:w="4033" w:type="dxa"/>
            <w:tcBorders>
              <w:tl2br w:val="nil"/>
              <w:tr2bl w:val="nil"/>
            </w:tcBorders>
            <w:vAlign w:val="center"/>
          </w:tcPr>
          <w:p>
            <w:pPr>
              <w:spacing w:line="360" w:lineRule="auto"/>
              <w:jc w:val="center"/>
              <w:rPr>
                <w:b/>
                <w:bCs/>
              </w:rPr>
            </w:pPr>
            <w:r>
              <w:rPr>
                <w:b/>
                <w:bCs/>
              </w:rPr>
              <w:t>监测项目</w:t>
            </w:r>
          </w:p>
        </w:tc>
        <w:tc>
          <w:tcPr>
            <w:tcW w:w="1825" w:type="dxa"/>
            <w:tcBorders>
              <w:tl2br w:val="nil"/>
              <w:tr2bl w:val="nil"/>
            </w:tcBorders>
            <w:vAlign w:val="center"/>
          </w:tcPr>
          <w:p>
            <w:pPr>
              <w:spacing w:line="360" w:lineRule="auto"/>
              <w:jc w:val="center"/>
              <w:rPr>
                <w:b/>
                <w:bCs/>
              </w:rPr>
            </w:pPr>
            <w:r>
              <w:rPr>
                <w:b/>
                <w:bCs/>
              </w:rPr>
              <w:t>监测频次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35" w:type="dxa"/>
            <w:tcBorders>
              <w:tl2br w:val="nil"/>
              <w:tr2bl w:val="nil"/>
            </w:tcBorders>
            <w:vAlign w:val="center"/>
          </w:tcPr>
          <w:p>
            <w:pPr>
              <w:contextualSpacing/>
              <w:jc w:val="center"/>
            </w:pPr>
            <w:r>
              <w:rPr>
                <w:rFonts w:hint="eastAsia"/>
              </w:rPr>
              <w:t>厂区</w:t>
            </w:r>
            <w:r>
              <w:t>厂界上风向设置 1个参照点，下风向设置3个监控点。</w:t>
            </w:r>
          </w:p>
        </w:tc>
        <w:tc>
          <w:tcPr>
            <w:tcW w:w="4033" w:type="dxa"/>
            <w:tcBorders>
              <w:tl2br w:val="nil"/>
              <w:tr2bl w:val="nil"/>
            </w:tcBorders>
            <w:vAlign w:val="center"/>
          </w:tcPr>
          <w:p>
            <w:pPr>
              <w:jc w:val="center"/>
            </w:pPr>
            <w:r>
              <w:t>氯气、氯化氢</w:t>
            </w:r>
            <w:r>
              <w:rPr>
                <w:rFonts w:hint="eastAsia"/>
              </w:rPr>
              <w:t>、VOCs（以非甲烷总烃计）</w:t>
            </w:r>
          </w:p>
        </w:tc>
        <w:tc>
          <w:tcPr>
            <w:tcW w:w="1825" w:type="dxa"/>
            <w:tcBorders>
              <w:tl2br w:val="nil"/>
              <w:tr2bl w:val="nil"/>
            </w:tcBorders>
            <w:vAlign w:val="center"/>
          </w:tcPr>
          <w:p>
            <w:pPr>
              <w:spacing w:line="360" w:lineRule="auto"/>
              <w:jc w:val="center"/>
            </w:pPr>
            <w:r>
              <w:t>4次/天，监测2天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35" w:type="dxa"/>
            <w:tcBorders>
              <w:tl2br w:val="nil"/>
              <w:tr2bl w:val="nil"/>
            </w:tcBorders>
            <w:vAlign w:val="center"/>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厂区内装置区</w:t>
            </w:r>
          </w:p>
        </w:tc>
        <w:tc>
          <w:tcPr>
            <w:tcW w:w="4033" w:type="dxa"/>
            <w:tcBorders>
              <w:tl2br w:val="nil"/>
              <w:tr2bl w:val="nil"/>
            </w:tcBorders>
            <w:vAlign w:val="center"/>
          </w:tcPr>
          <w:p>
            <w:pPr>
              <w:jc w:val="center"/>
              <w:rPr>
                <w:rFonts w:ascii="Times New Roman" w:hAnsi="Times New Roman" w:eastAsia="宋体" w:cs="Times New Roman"/>
              </w:rPr>
            </w:pPr>
            <w:r>
              <w:rPr>
                <w:rFonts w:hint="eastAsia" w:ascii="Times New Roman" w:hAnsi="Times New Roman" w:eastAsia="宋体" w:cs="Times New Roman"/>
                <w:lang w:val="en-US" w:eastAsia="zh-CN"/>
              </w:rPr>
              <w:t>VOCs（以非甲烷总烃计）</w:t>
            </w:r>
          </w:p>
        </w:tc>
        <w:tc>
          <w:tcPr>
            <w:tcW w:w="1825" w:type="dxa"/>
            <w:tcBorders>
              <w:tl2br w:val="nil"/>
              <w:tr2bl w:val="nil"/>
            </w:tcBorders>
            <w:vAlign w:val="center"/>
          </w:tcPr>
          <w:p>
            <w:pPr>
              <w:jc w:val="center"/>
              <w:rPr>
                <w:rFonts w:ascii="Times New Roman" w:hAnsi="Times New Roman" w:eastAsia="宋体" w:cs="Times New Roman"/>
              </w:rPr>
            </w:pPr>
            <w:r>
              <w:rPr>
                <w:rFonts w:hint="default" w:ascii="Times New Roman" w:hAnsi="Times New Roman" w:eastAsia="宋体" w:cs="Times New Roman"/>
                <w:lang w:val="en-US" w:eastAsia="zh-CN"/>
              </w:rPr>
              <w:t>4</w:t>
            </w:r>
            <w:r>
              <w:rPr>
                <w:rFonts w:hint="default" w:ascii="Times New Roman" w:hAnsi="Times New Roman" w:eastAsia="宋体" w:cs="Times New Roman"/>
              </w:rPr>
              <w:t>次/天，监测2天</w:t>
            </w:r>
          </w:p>
        </w:tc>
      </w:tr>
    </w:tbl>
    <w:p>
      <w:pPr>
        <w:pStyle w:val="10"/>
      </w:pPr>
      <w:bookmarkStart w:id="74" w:name="_Toc32382"/>
      <w:r>
        <w:rPr>
          <w:rStyle w:val="59"/>
          <w:b/>
          <w:bCs w:val="0"/>
        </w:rPr>
        <w:t>7.3</w:t>
      </w:r>
      <w:r>
        <w:t xml:space="preserve"> 厂界噪声监测内容</w:t>
      </w:r>
      <w:bookmarkEnd w:id="74"/>
    </w:p>
    <w:p>
      <w:pPr>
        <w:spacing w:line="360" w:lineRule="auto"/>
        <w:ind w:firstLine="480" w:firstLineChars="200"/>
        <w:rPr>
          <w:sz w:val="24"/>
        </w:rPr>
      </w:pPr>
      <w:r>
        <w:rPr>
          <w:sz w:val="24"/>
        </w:rPr>
        <w:t>厂界噪声监测按照《工业企业厂界环境噪声排放标准》（GB12348-2008）进行。具体监测点位、项目及频次见表</w:t>
      </w:r>
      <w:r>
        <w:rPr>
          <w:rFonts w:hint="eastAsia"/>
          <w:sz w:val="24"/>
        </w:rPr>
        <w:t>7.3-1。</w:t>
      </w:r>
    </w:p>
    <w:p>
      <w:pPr>
        <w:widowControl/>
        <w:jc w:val="center"/>
        <w:rPr>
          <w:b/>
          <w:bCs/>
          <w:kern w:val="0"/>
        </w:rPr>
      </w:pPr>
      <w:r>
        <w:rPr>
          <w:b/>
          <w:bCs/>
          <w:kern w:val="0"/>
        </w:rPr>
        <w:t>表 7.</w:t>
      </w:r>
      <w:r>
        <w:rPr>
          <w:rFonts w:hint="eastAsia"/>
          <w:b/>
          <w:bCs/>
          <w:kern w:val="0"/>
        </w:rPr>
        <w:t>3</w:t>
      </w:r>
      <w:r>
        <w:rPr>
          <w:b/>
          <w:bCs/>
          <w:kern w:val="0"/>
        </w:rPr>
        <w:t>-1 噪声监测内容</w:t>
      </w:r>
    </w:p>
    <w:tbl>
      <w:tblPr>
        <w:tblStyle w:val="39"/>
        <w:tblW w:w="854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544"/>
        <w:gridCol w:w="2103"/>
        <w:gridCol w:w="289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44" w:type="dxa"/>
            <w:tcBorders>
              <w:tl2br w:val="nil"/>
              <w:tr2bl w:val="nil"/>
            </w:tcBorders>
            <w:vAlign w:val="center"/>
          </w:tcPr>
          <w:p>
            <w:pPr>
              <w:spacing w:line="360" w:lineRule="auto"/>
              <w:jc w:val="center"/>
              <w:rPr>
                <w:b/>
                <w:bCs/>
              </w:rPr>
            </w:pPr>
            <w:r>
              <w:rPr>
                <w:b/>
                <w:bCs/>
              </w:rPr>
              <w:t>监测点位</w:t>
            </w:r>
          </w:p>
        </w:tc>
        <w:tc>
          <w:tcPr>
            <w:tcW w:w="2103" w:type="dxa"/>
            <w:tcBorders>
              <w:tl2br w:val="nil"/>
              <w:tr2bl w:val="nil"/>
            </w:tcBorders>
            <w:vAlign w:val="center"/>
          </w:tcPr>
          <w:p>
            <w:pPr>
              <w:spacing w:line="360" w:lineRule="auto"/>
              <w:jc w:val="center"/>
              <w:rPr>
                <w:b/>
                <w:bCs/>
              </w:rPr>
            </w:pPr>
            <w:r>
              <w:rPr>
                <w:b/>
                <w:bCs/>
              </w:rPr>
              <w:t>监测项目</w:t>
            </w:r>
          </w:p>
        </w:tc>
        <w:tc>
          <w:tcPr>
            <w:tcW w:w="2895" w:type="dxa"/>
            <w:tcBorders>
              <w:tl2br w:val="nil"/>
              <w:tr2bl w:val="nil"/>
            </w:tcBorders>
            <w:vAlign w:val="center"/>
          </w:tcPr>
          <w:p>
            <w:pPr>
              <w:spacing w:line="360" w:lineRule="auto"/>
              <w:jc w:val="center"/>
              <w:rPr>
                <w:b/>
                <w:bCs/>
              </w:rPr>
            </w:pPr>
            <w:r>
              <w:rPr>
                <w:b/>
                <w:bCs/>
              </w:rPr>
              <w:t>监测周期及频次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44" w:type="dxa"/>
            <w:tcBorders>
              <w:tl2br w:val="nil"/>
              <w:tr2bl w:val="nil"/>
            </w:tcBorders>
            <w:vAlign w:val="center"/>
          </w:tcPr>
          <w:p>
            <w:pPr>
              <w:jc w:val="center"/>
            </w:pPr>
            <w:r>
              <w:rPr>
                <w:rFonts w:hint="eastAsia"/>
              </w:rPr>
              <w:t>厂区</w:t>
            </w:r>
            <w:r>
              <w:t>东、西、南、北4个边界外1 m处各布设1个监测点</w:t>
            </w:r>
          </w:p>
        </w:tc>
        <w:tc>
          <w:tcPr>
            <w:tcW w:w="2103" w:type="dxa"/>
            <w:tcBorders>
              <w:tl2br w:val="nil"/>
              <w:tr2bl w:val="nil"/>
            </w:tcBorders>
            <w:vAlign w:val="center"/>
          </w:tcPr>
          <w:p>
            <w:pPr>
              <w:jc w:val="center"/>
            </w:pPr>
            <w:r>
              <w:t>等效连续A声级</w:t>
            </w:r>
          </w:p>
          <w:p>
            <w:pPr>
              <w:jc w:val="center"/>
            </w:pPr>
            <w:r>
              <w:t>（Leq）</w:t>
            </w:r>
          </w:p>
        </w:tc>
        <w:tc>
          <w:tcPr>
            <w:tcW w:w="2895" w:type="dxa"/>
            <w:tcBorders>
              <w:tl2br w:val="nil"/>
              <w:tr2bl w:val="nil"/>
            </w:tcBorders>
            <w:vAlign w:val="center"/>
          </w:tcPr>
          <w:p>
            <w:pPr>
              <w:spacing w:line="360" w:lineRule="auto"/>
              <w:jc w:val="center"/>
            </w:pPr>
            <w:r>
              <w:t>昼</w:t>
            </w:r>
            <w:r>
              <w:rPr>
                <w:rFonts w:hint="eastAsia"/>
              </w:rPr>
              <w:t>夜各</w:t>
            </w:r>
            <w:r>
              <w:t>监测1次</w:t>
            </w:r>
            <w:r>
              <w:rPr>
                <w:rFonts w:hint="eastAsia"/>
              </w:rPr>
              <w:t>，</w:t>
            </w:r>
            <w:r>
              <w:t>监测2天</w:t>
            </w:r>
          </w:p>
        </w:tc>
      </w:tr>
    </w:tbl>
    <w:p>
      <w:pPr>
        <w:pStyle w:val="23"/>
        <w:ind w:firstLine="480"/>
      </w:pPr>
    </w:p>
    <w:p/>
    <w:p>
      <w:pPr>
        <w:tabs>
          <w:tab w:val="left" w:pos="6739"/>
        </w:tabs>
        <w:jc w:val="left"/>
      </w:pPr>
      <w:r>
        <w:rPr>
          <w:rFonts w:hint="eastAsia"/>
        </w:rPr>
        <w:tab/>
      </w:r>
    </w:p>
    <w:p>
      <w:pPr>
        <w:pStyle w:val="2"/>
      </w:pPr>
    </w:p>
    <w:p>
      <w:p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9"/>
        <w:spacing w:line="360" w:lineRule="auto"/>
      </w:pPr>
      <w:bookmarkStart w:id="75" w:name="_Toc4424"/>
      <w:r>
        <w:t>第八章 质量保证和质量控制</w:t>
      </w:r>
      <w:bookmarkEnd w:id="75"/>
    </w:p>
    <w:p>
      <w:pPr>
        <w:pStyle w:val="10"/>
        <w:spacing w:line="360" w:lineRule="auto"/>
        <w:contextualSpacing/>
      </w:pPr>
      <w:bookmarkStart w:id="76" w:name="_Toc4217"/>
      <w:r>
        <w:t>8.1监测分析方法</w:t>
      </w:r>
      <w:bookmarkEnd w:id="76"/>
    </w:p>
    <w:p>
      <w:pPr>
        <w:pStyle w:val="11"/>
      </w:pPr>
      <w:bookmarkStart w:id="77" w:name="_Toc26667"/>
      <w:r>
        <w:t>8.1.1 废气监测分析方法</w:t>
      </w:r>
      <w:bookmarkEnd w:id="77"/>
    </w:p>
    <w:p>
      <w:pPr>
        <w:pStyle w:val="23"/>
        <w:spacing w:after="0" w:line="360" w:lineRule="auto"/>
        <w:ind w:firstLine="480"/>
        <w:contextualSpacing/>
        <w:rPr>
          <w:sz w:val="24"/>
        </w:rPr>
      </w:pPr>
      <w:r>
        <w:rPr>
          <w:sz w:val="24"/>
        </w:rPr>
        <w:t>废气监测分析方法见表8.1-1</w:t>
      </w:r>
    </w:p>
    <w:p>
      <w:pPr>
        <w:spacing w:line="360" w:lineRule="auto"/>
        <w:contextualSpacing/>
        <w:jc w:val="center"/>
        <w:rPr>
          <w:b/>
          <w:bCs/>
          <w:sz w:val="24"/>
          <w:szCs w:val="24"/>
        </w:rPr>
      </w:pPr>
      <w:r>
        <w:rPr>
          <w:b/>
          <w:bCs/>
          <w:sz w:val="24"/>
          <w:szCs w:val="24"/>
        </w:rPr>
        <w:t>表8.1-1 废气监测分析方法表</w:t>
      </w:r>
    </w:p>
    <w:tbl>
      <w:tblPr>
        <w:tblStyle w:val="39"/>
        <w:tblW w:w="878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1985"/>
        <w:gridCol w:w="1593"/>
        <w:gridCol w:w="1953"/>
        <w:gridCol w:w="183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418" w:type="dxa"/>
            <w:tcBorders>
              <w:tl2br w:val="nil"/>
              <w:tr2bl w:val="nil"/>
            </w:tcBorders>
            <w:vAlign w:val="center"/>
          </w:tcPr>
          <w:p>
            <w:pPr>
              <w:spacing w:line="360" w:lineRule="auto"/>
              <w:jc w:val="center"/>
              <w:rPr>
                <w:b/>
                <w:bCs/>
              </w:rPr>
            </w:pPr>
            <w:r>
              <w:rPr>
                <w:b/>
                <w:bCs/>
              </w:rPr>
              <w:t>监测项目</w:t>
            </w:r>
          </w:p>
        </w:tc>
        <w:tc>
          <w:tcPr>
            <w:tcW w:w="1985" w:type="dxa"/>
            <w:tcBorders>
              <w:tl2br w:val="nil"/>
              <w:tr2bl w:val="nil"/>
            </w:tcBorders>
            <w:vAlign w:val="center"/>
          </w:tcPr>
          <w:p>
            <w:pPr>
              <w:spacing w:line="360" w:lineRule="auto"/>
              <w:jc w:val="center"/>
              <w:rPr>
                <w:b/>
                <w:bCs/>
              </w:rPr>
            </w:pPr>
            <w:r>
              <w:rPr>
                <w:b/>
                <w:bCs/>
              </w:rPr>
              <w:t>监测因子</w:t>
            </w:r>
          </w:p>
        </w:tc>
        <w:tc>
          <w:tcPr>
            <w:tcW w:w="1593" w:type="dxa"/>
            <w:tcBorders>
              <w:tl2br w:val="nil"/>
              <w:tr2bl w:val="nil"/>
            </w:tcBorders>
            <w:vAlign w:val="center"/>
          </w:tcPr>
          <w:p>
            <w:pPr>
              <w:spacing w:line="360" w:lineRule="auto"/>
              <w:jc w:val="center"/>
              <w:rPr>
                <w:b/>
                <w:bCs/>
              </w:rPr>
            </w:pPr>
            <w:r>
              <w:rPr>
                <w:b/>
                <w:bCs/>
              </w:rPr>
              <w:t>监测方法</w:t>
            </w:r>
          </w:p>
        </w:tc>
        <w:tc>
          <w:tcPr>
            <w:tcW w:w="1953" w:type="dxa"/>
            <w:tcBorders>
              <w:tl2br w:val="nil"/>
              <w:tr2bl w:val="nil"/>
            </w:tcBorders>
            <w:vAlign w:val="center"/>
          </w:tcPr>
          <w:p>
            <w:pPr>
              <w:spacing w:line="360" w:lineRule="auto"/>
              <w:jc w:val="center"/>
              <w:rPr>
                <w:b/>
                <w:bCs/>
              </w:rPr>
            </w:pPr>
            <w:r>
              <w:rPr>
                <w:b/>
                <w:bCs/>
              </w:rPr>
              <w:t>方法来源</w:t>
            </w:r>
          </w:p>
        </w:tc>
        <w:tc>
          <w:tcPr>
            <w:tcW w:w="1831" w:type="dxa"/>
            <w:tcBorders>
              <w:tl2br w:val="nil"/>
              <w:tr2bl w:val="nil"/>
            </w:tcBorders>
            <w:vAlign w:val="center"/>
          </w:tcPr>
          <w:p>
            <w:pPr>
              <w:jc w:val="center"/>
              <w:rPr>
                <w:b/>
                <w:bCs/>
              </w:rPr>
            </w:pPr>
            <w:r>
              <w:rPr>
                <w:b/>
                <w:bCs/>
              </w:rPr>
              <w:t>检出限（mg/m</w:t>
            </w:r>
            <w:r>
              <w:rPr>
                <w:b/>
                <w:bCs/>
                <w:vertAlign w:val="superscript"/>
              </w:rPr>
              <w:t>3</w:t>
            </w:r>
            <w:r>
              <w:rPr>
                <w:b/>
                <w:bCs/>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18" w:type="dxa"/>
            <w:vMerge w:val="restart"/>
            <w:tcBorders>
              <w:tl2br w:val="nil"/>
              <w:tr2bl w:val="nil"/>
            </w:tcBorders>
            <w:vAlign w:val="center"/>
          </w:tcPr>
          <w:p>
            <w:pPr>
              <w:jc w:val="center"/>
            </w:pPr>
            <w:r>
              <w:t>有组织</w:t>
            </w:r>
          </w:p>
          <w:p>
            <w:pPr>
              <w:jc w:val="center"/>
              <w:rPr>
                <w:color w:val="000000"/>
              </w:rPr>
            </w:pPr>
            <w:r>
              <w:t>废气</w:t>
            </w:r>
          </w:p>
        </w:tc>
        <w:tc>
          <w:tcPr>
            <w:tcW w:w="1985" w:type="dxa"/>
            <w:tcBorders>
              <w:tl2br w:val="nil"/>
              <w:tr2bl w:val="nil"/>
            </w:tcBorders>
            <w:vAlign w:val="center"/>
          </w:tcPr>
          <w:p>
            <w:pPr>
              <w:spacing w:line="360" w:lineRule="auto"/>
              <w:jc w:val="center"/>
            </w:pPr>
            <w:r>
              <w:rPr>
                <w:rFonts w:hint="eastAsia"/>
              </w:rPr>
              <w:t>氯气</w:t>
            </w:r>
          </w:p>
        </w:tc>
        <w:tc>
          <w:tcPr>
            <w:tcW w:w="1593" w:type="dxa"/>
            <w:tcBorders>
              <w:tl2br w:val="nil"/>
              <w:tr2bl w:val="nil"/>
            </w:tcBorders>
            <w:vAlign w:val="center"/>
          </w:tcPr>
          <w:p>
            <w:pPr>
              <w:pStyle w:val="133"/>
              <w:jc w:val="center"/>
              <w:rPr>
                <w:rFonts w:ascii="Times New Roman"/>
                <w:color w:val="auto"/>
                <w:kern w:val="2"/>
                <w:sz w:val="21"/>
                <w:szCs w:val="21"/>
              </w:rPr>
            </w:pPr>
            <w:r>
              <w:rPr>
                <w:rFonts w:ascii="Times New Roman"/>
                <w:color w:val="auto"/>
                <w:kern w:val="2"/>
                <w:sz w:val="21"/>
                <w:szCs w:val="21"/>
              </w:rPr>
              <w:t>分光光度法</w:t>
            </w:r>
          </w:p>
        </w:tc>
        <w:tc>
          <w:tcPr>
            <w:tcW w:w="1953" w:type="dxa"/>
            <w:tcBorders>
              <w:tl2br w:val="nil"/>
              <w:tr2bl w:val="nil"/>
            </w:tcBorders>
            <w:vAlign w:val="center"/>
          </w:tcPr>
          <w:p>
            <w:pPr>
              <w:spacing w:line="360" w:lineRule="auto"/>
              <w:jc w:val="center"/>
            </w:pPr>
            <w:r>
              <w:rPr>
                <w:szCs w:val="24"/>
              </w:rPr>
              <w:t>HJ/T 30-1999</w:t>
            </w:r>
          </w:p>
        </w:tc>
        <w:tc>
          <w:tcPr>
            <w:tcW w:w="1831" w:type="dxa"/>
            <w:tcBorders>
              <w:tl2br w:val="nil"/>
              <w:tr2bl w:val="nil"/>
            </w:tcBorders>
            <w:vAlign w:val="center"/>
          </w:tcPr>
          <w:p>
            <w:pPr>
              <w:spacing w:line="360" w:lineRule="auto"/>
              <w:jc w:val="center"/>
            </w:pPr>
            <w:r>
              <w:rPr>
                <w:rFonts w:hint="eastAsia"/>
              </w:rPr>
              <w:t>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18" w:type="dxa"/>
            <w:vMerge w:val="continue"/>
            <w:tcBorders>
              <w:tl2br w:val="nil"/>
              <w:tr2bl w:val="nil"/>
            </w:tcBorders>
            <w:vAlign w:val="center"/>
          </w:tcPr>
          <w:p>
            <w:pPr>
              <w:spacing w:line="360" w:lineRule="auto"/>
              <w:jc w:val="center"/>
            </w:pPr>
          </w:p>
        </w:tc>
        <w:tc>
          <w:tcPr>
            <w:tcW w:w="1985" w:type="dxa"/>
            <w:tcBorders>
              <w:tl2br w:val="nil"/>
              <w:tr2bl w:val="nil"/>
            </w:tcBorders>
            <w:vAlign w:val="center"/>
          </w:tcPr>
          <w:p>
            <w:pPr>
              <w:jc w:val="center"/>
            </w:pPr>
            <w:r>
              <w:rPr>
                <w:rFonts w:hint="eastAsia"/>
              </w:rPr>
              <w:t>氯化氢</w:t>
            </w:r>
          </w:p>
        </w:tc>
        <w:tc>
          <w:tcPr>
            <w:tcW w:w="1593" w:type="dxa"/>
            <w:tcBorders>
              <w:tl2br w:val="nil"/>
              <w:tr2bl w:val="nil"/>
            </w:tcBorders>
            <w:vAlign w:val="center"/>
          </w:tcPr>
          <w:p>
            <w:pPr>
              <w:pStyle w:val="133"/>
              <w:jc w:val="center"/>
              <w:rPr>
                <w:rFonts w:ascii="Times New Roman"/>
                <w:color w:val="auto"/>
                <w:kern w:val="2"/>
                <w:sz w:val="21"/>
                <w:szCs w:val="21"/>
              </w:rPr>
            </w:pPr>
            <w:r>
              <w:rPr>
                <w:rFonts w:ascii="Times New Roman"/>
                <w:color w:val="auto"/>
                <w:kern w:val="2"/>
                <w:sz w:val="21"/>
                <w:szCs w:val="21"/>
              </w:rPr>
              <w:t xml:space="preserve"> 离子色谱法</w:t>
            </w:r>
          </w:p>
        </w:tc>
        <w:tc>
          <w:tcPr>
            <w:tcW w:w="1953" w:type="dxa"/>
            <w:tcBorders>
              <w:tl2br w:val="nil"/>
              <w:tr2bl w:val="nil"/>
            </w:tcBorders>
            <w:vAlign w:val="center"/>
          </w:tcPr>
          <w:p>
            <w:pPr>
              <w:spacing w:line="360" w:lineRule="auto"/>
              <w:jc w:val="center"/>
            </w:pPr>
            <w:r>
              <w:rPr>
                <w:szCs w:val="24"/>
              </w:rPr>
              <w:t>HJ 549-2016</w:t>
            </w:r>
          </w:p>
        </w:tc>
        <w:tc>
          <w:tcPr>
            <w:tcW w:w="1831" w:type="dxa"/>
            <w:tcBorders>
              <w:tl2br w:val="nil"/>
              <w:tr2bl w:val="nil"/>
            </w:tcBorders>
            <w:vAlign w:val="center"/>
          </w:tcPr>
          <w:p>
            <w:pPr>
              <w:spacing w:line="360" w:lineRule="auto"/>
              <w:jc w:val="center"/>
            </w:pPr>
            <w:r>
              <w:rPr>
                <w:rFonts w:hint="eastAsia"/>
              </w:rPr>
              <w:t>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18" w:type="dxa"/>
            <w:vMerge w:val="continue"/>
            <w:tcBorders>
              <w:tl2br w:val="nil"/>
              <w:tr2bl w:val="nil"/>
            </w:tcBorders>
            <w:vAlign w:val="center"/>
          </w:tcPr>
          <w:p>
            <w:pPr>
              <w:spacing w:line="360" w:lineRule="auto"/>
              <w:jc w:val="center"/>
            </w:pPr>
          </w:p>
        </w:tc>
        <w:tc>
          <w:tcPr>
            <w:tcW w:w="1985" w:type="dxa"/>
            <w:tcBorders>
              <w:tl2br w:val="nil"/>
              <w:tr2bl w:val="nil"/>
            </w:tcBorders>
            <w:vAlign w:val="center"/>
          </w:tcPr>
          <w:p>
            <w:pPr>
              <w:jc w:val="center"/>
            </w:pPr>
            <w:r>
              <w:t>VOCs（以非甲烷总烃计）</w:t>
            </w:r>
          </w:p>
        </w:tc>
        <w:tc>
          <w:tcPr>
            <w:tcW w:w="1593" w:type="dxa"/>
            <w:tcBorders>
              <w:tl2br w:val="nil"/>
              <w:tr2bl w:val="nil"/>
            </w:tcBorders>
            <w:vAlign w:val="center"/>
          </w:tcPr>
          <w:p>
            <w:pPr>
              <w:pStyle w:val="133"/>
              <w:jc w:val="center"/>
              <w:rPr>
                <w:rFonts w:ascii="Times New Roman"/>
                <w:color w:val="auto"/>
                <w:kern w:val="2"/>
                <w:sz w:val="21"/>
                <w:szCs w:val="21"/>
              </w:rPr>
            </w:pPr>
            <w:r>
              <w:rPr>
                <w:rFonts w:ascii="Times New Roman"/>
                <w:color w:val="auto"/>
                <w:kern w:val="2"/>
                <w:sz w:val="21"/>
                <w:szCs w:val="21"/>
              </w:rPr>
              <w:t>气相色谱法</w:t>
            </w:r>
          </w:p>
        </w:tc>
        <w:tc>
          <w:tcPr>
            <w:tcW w:w="1953" w:type="dxa"/>
            <w:tcBorders>
              <w:tl2br w:val="nil"/>
              <w:tr2bl w:val="nil"/>
            </w:tcBorders>
            <w:vAlign w:val="center"/>
          </w:tcPr>
          <w:p>
            <w:pPr>
              <w:spacing w:line="360" w:lineRule="auto"/>
              <w:jc w:val="center"/>
            </w:pPr>
            <w:r>
              <w:t>HJ 38-2017</w:t>
            </w:r>
          </w:p>
        </w:tc>
        <w:tc>
          <w:tcPr>
            <w:tcW w:w="1831" w:type="dxa"/>
            <w:tcBorders>
              <w:tl2br w:val="nil"/>
              <w:tr2bl w:val="nil"/>
            </w:tcBorders>
            <w:vAlign w:val="center"/>
          </w:tcPr>
          <w:p>
            <w:pPr>
              <w:spacing w:line="360" w:lineRule="auto"/>
              <w:jc w:val="center"/>
            </w:pPr>
            <w:r>
              <w:t xml:space="preserve">0.07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18" w:type="dxa"/>
            <w:vMerge w:val="restart"/>
            <w:tcBorders>
              <w:tl2br w:val="nil"/>
              <w:tr2bl w:val="nil"/>
            </w:tcBorders>
            <w:vAlign w:val="center"/>
          </w:tcPr>
          <w:p>
            <w:pPr>
              <w:jc w:val="center"/>
            </w:pPr>
            <w:r>
              <w:t>无组织</w:t>
            </w:r>
          </w:p>
          <w:p>
            <w:pPr>
              <w:jc w:val="center"/>
            </w:pPr>
            <w:r>
              <w:t>废气</w:t>
            </w:r>
          </w:p>
        </w:tc>
        <w:tc>
          <w:tcPr>
            <w:tcW w:w="1985" w:type="dxa"/>
            <w:tcBorders>
              <w:tl2br w:val="nil"/>
              <w:tr2bl w:val="nil"/>
            </w:tcBorders>
            <w:vAlign w:val="center"/>
          </w:tcPr>
          <w:p>
            <w:pPr>
              <w:spacing w:line="360" w:lineRule="auto"/>
              <w:jc w:val="center"/>
            </w:pPr>
            <w:r>
              <w:rPr>
                <w:rFonts w:hint="eastAsia"/>
              </w:rPr>
              <w:t>氯气</w:t>
            </w:r>
          </w:p>
        </w:tc>
        <w:tc>
          <w:tcPr>
            <w:tcW w:w="1593" w:type="dxa"/>
            <w:tcBorders>
              <w:tl2br w:val="nil"/>
              <w:tr2bl w:val="nil"/>
            </w:tcBorders>
            <w:vAlign w:val="center"/>
          </w:tcPr>
          <w:p>
            <w:pPr>
              <w:pStyle w:val="133"/>
              <w:jc w:val="center"/>
              <w:rPr>
                <w:rFonts w:ascii="Times New Roman"/>
                <w:color w:val="auto"/>
                <w:kern w:val="2"/>
                <w:sz w:val="21"/>
                <w:szCs w:val="21"/>
              </w:rPr>
            </w:pPr>
            <w:r>
              <w:rPr>
                <w:rFonts w:ascii="Times New Roman"/>
                <w:color w:val="auto"/>
                <w:kern w:val="2"/>
                <w:sz w:val="21"/>
                <w:szCs w:val="21"/>
              </w:rPr>
              <w:t>分光光度法</w:t>
            </w:r>
          </w:p>
        </w:tc>
        <w:tc>
          <w:tcPr>
            <w:tcW w:w="1953" w:type="dxa"/>
            <w:tcBorders>
              <w:tl2br w:val="nil"/>
              <w:tr2bl w:val="nil"/>
            </w:tcBorders>
            <w:vAlign w:val="center"/>
          </w:tcPr>
          <w:p>
            <w:pPr>
              <w:spacing w:line="360" w:lineRule="auto"/>
              <w:jc w:val="center"/>
            </w:pPr>
            <w:r>
              <w:rPr>
                <w:szCs w:val="24"/>
              </w:rPr>
              <w:t>HJ/T 30-1999</w:t>
            </w:r>
          </w:p>
        </w:tc>
        <w:tc>
          <w:tcPr>
            <w:tcW w:w="1831" w:type="dxa"/>
            <w:tcBorders>
              <w:tl2br w:val="nil"/>
              <w:tr2bl w:val="nil"/>
            </w:tcBorders>
            <w:vAlign w:val="center"/>
          </w:tcPr>
          <w:p>
            <w:pPr>
              <w:spacing w:line="360" w:lineRule="auto"/>
              <w:jc w:val="center"/>
            </w:pPr>
            <w:r>
              <w:rPr>
                <w:rFonts w:hint="eastAsia"/>
              </w:rPr>
              <w:t>0.03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18" w:type="dxa"/>
            <w:vMerge w:val="continue"/>
            <w:tcBorders>
              <w:tl2br w:val="nil"/>
              <w:tr2bl w:val="nil"/>
            </w:tcBorders>
            <w:vAlign w:val="center"/>
          </w:tcPr>
          <w:p>
            <w:pPr>
              <w:spacing w:line="360" w:lineRule="auto"/>
              <w:jc w:val="center"/>
              <w:rPr>
                <w:color w:val="000000"/>
              </w:rPr>
            </w:pPr>
          </w:p>
        </w:tc>
        <w:tc>
          <w:tcPr>
            <w:tcW w:w="1985" w:type="dxa"/>
            <w:tcBorders>
              <w:tl2br w:val="nil"/>
              <w:tr2bl w:val="nil"/>
            </w:tcBorders>
            <w:vAlign w:val="center"/>
          </w:tcPr>
          <w:p>
            <w:pPr>
              <w:jc w:val="center"/>
            </w:pPr>
            <w:r>
              <w:rPr>
                <w:rFonts w:hint="eastAsia"/>
              </w:rPr>
              <w:t>氯化氢</w:t>
            </w:r>
          </w:p>
        </w:tc>
        <w:tc>
          <w:tcPr>
            <w:tcW w:w="1593" w:type="dxa"/>
            <w:tcBorders>
              <w:tl2br w:val="nil"/>
              <w:tr2bl w:val="nil"/>
            </w:tcBorders>
            <w:vAlign w:val="center"/>
          </w:tcPr>
          <w:p>
            <w:pPr>
              <w:pStyle w:val="133"/>
              <w:jc w:val="center"/>
            </w:pPr>
            <w:r>
              <w:rPr>
                <w:rFonts w:ascii="Times New Roman"/>
                <w:color w:val="auto"/>
                <w:kern w:val="2"/>
                <w:sz w:val="21"/>
                <w:szCs w:val="21"/>
              </w:rPr>
              <w:t>分光光度法</w:t>
            </w:r>
          </w:p>
        </w:tc>
        <w:tc>
          <w:tcPr>
            <w:tcW w:w="1953" w:type="dxa"/>
            <w:tcBorders>
              <w:tl2br w:val="nil"/>
              <w:tr2bl w:val="nil"/>
            </w:tcBorders>
            <w:vAlign w:val="center"/>
          </w:tcPr>
          <w:p>
            <w:pPr>
              <w:spacing w:line="360" w:lineRule="auto"/>
              <w:jc w:val="center"/>
            </w:pPr>
            <w:r>
              <w:rPr>
                <w:szCs w:val="24"/>
              </w:rPr>
              <w:t>HJ/T 27-1999</w:t>
            </w:r>
          </w:p>
        </w:tc>
        <w:tc>
          <w:tcPr>
            <w:tcW w:w="1831" w:type="dxa"/>
            <w:tcBorders>
              <w:tl2br w:val="nil"/>
              <w:tr2bl w:val="nil"/>
            </w:tcBorders>
            <w:vAlign w:val="center"/>
          </w:tcPr>
          <w:p>
            <w:pPr>
              <w:spacing w:line="360" w:lineRule="auto"/>
              <w:jc w:val="center"/>
            </w:pPr>
            <w:r>
              <w:rPr>
                <w:rFonts w:hint="eastAsia"/>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18" w:type="dxa"/>
            <w:vMerge w:val="continue"/>
            <w:tcBorders>
              <w:tl2br w:val="nil"/>
              <w:tr2bl w:val="nil"/>
            </w:tcBorders>
            <w:vAlign w:val="center"/>
          </w:tcPr>
          <w:p>
            <w:pPr>
              <w:spacing w:line="360" w:lineRule="auto"/>
              <w:jc w:val="center"/>
            </w:pPr>
          </w:p>
        </w:tc>
        <w:tc>
          <w:tcPr>
            <w:tcW w:w="1985" w:type="dxa"/>
            <w:tcBorders>
              <w:tl2br w:val="nil"/>
              <w:tr2bl w:val="nil"/>
            </w:tcBorders>
            <w:vAlign w:val="center"/>
          </w:tcPr>
          <w:p>
            <w:pPr>
              <w:jc w:val="center"/>
            </w:pPr>
            <w:r>
              <w:t>VOCs（以非甲烷总烃计）</w:t>
            </w:r>
          </w:p>
        </w:tc>
        <w:tc>
          <w:tcPr>
            <w:tcW w:w="1593" w:type="dxa"/>
            <w:tcBorders>
              <w:tl2br w:val="nil"/>
              <w:tr2bl w:val="nil"/>
            </w:tcBorders>
            <w:vAlign w:val="center"/>
          </w:tcPr>
          <w:p>
            <w:pPr>
              <w:pStyle w:val="133"/>
              <w:jc w:val="center"/>
            </w:pPr>
            <w:r>
              <w:rPr>
                <w:rFonts w:ascii="Times New Roman"/>
                <w:color w:val="auto"/>
                <w:kern w:val="2"/>
                <w:sz w:val="21"/>
                <w:szCs w:val="21"/>
              </w:rPr>
              <w:t>气相色谱法</w:t>
            </w:r>
          </w:p>
        </w:tc>
        <w:tc>
          <w:tcPr>
            <w:tcW w:w="1953" w:type="dxa"/>
            <w:tcBorders>
              <w:tl2br w:val="nil"/>
              <w:tr2bl w:val="nil"/>
            </w:tcBorders>
            <w:vAlign w:val="center"/>
          </w:tcPr>
          <w:p>
            <w:pPr>
              <w:spacing w:line="360" w:lineRule="auto"/>
              <w:jc w:val="center"/>
            </w:pPr>
            <w:r>
              <w:t>HJ 604-2017</w:t>
            </w:r>
          </w:p>
        </w:tc>
        <w:tc>
          <w:tcPr>
            <w:tcW w:w="1831" w:type="dxa"/>
            <w:tcBorders>
              <w:tl2br w:val="nil"/>
              <w:tr2bl w:val="nil"/>
            </w:tcBorders>
            <w:vAlign w:val="center"/>
          </w:tcPr>
          <w:p>
            <w:pPr>
              <w:spacing w:line="360" w:lineRule="auto"/>
              <w:jc w:val="center"/>
            </w:pPr>
            <w:r>
              <w:t xml:space="preserve">0.07 </w:t>
            </w:r>
          </w:p>
        </w:tc>
      </w:tr>
    </w:tbl>
    <w:p>
      <w:pPr>
        <w:pStyle w:val="11"/>
      </w:pPr>
      <w:bookmarkStart w:id="78" w:name="_Toc11637"/>
      <w:r>
        <w:t>8.1.2 噪声监测分析方法</w:t>
      </w:r>
      <w:bookmarkEnd w:id="78"/>
    </w:p>
    <w:p>
      <w:pPr>
        <w:pStyle w:val="23"/>
        <w:spacing w:after="0" w:line="360" w:lineRule="auto"/>
        <w:ind w:firstLine="480"/>
        <w:contextualSpacing/>
        <w:rPr>
          <w:sz w:val="24"/>
        </w:rPr>
      </w:pPr>
      <w:r>
        <w:rPr>
          <w:sz w:val="24"/>
        </w:rPr>
        <w:t>噪声监测分析方法见表8.1-</w:t>
      </w:r>
      <w:r>
        <w:rPr>
          <w:rFonts w:hint="eastAsia"/>
          <w:sz w:val="24"/>
        </w:rPr>
        <w:t>2。</w:t>
      </w:r>
    </w:p>
    <w:p>
      <w:pPr>
        <w:spacing w:line="360" w:lineRule="auto"/>
        <w:ind w:firstLine="361" w:firstLineChars="150"/>
        <w:contextualSpacing/>
        <w:jc w:val="center"/>
        <w:rPr>
          <w:b/>
          <w:bCs/>
          <w:sz w:val="24"/>
          <w:szCs w:val="24"/>
        </w:rPr>
      </w:pPr>
      <w:r>
        <w:rPr>
          <w:b/>
          <w:bCs/>
          <w:sz w:val="24"/>
          <w:szCs w:val="24"/>
        </w:rPr>
        <w:t>表8.1-</w:t>
      </w:r>
      <w:r>
        <w:rPr>
          <w:rFonts w:hint="eastAsia"/>
          <w:b/>
          <w:bCs/>
          <w:sz w:val="24"/>
          <w:szCs w:val="24"/>
        </w:rPr>
        <w:t>2</w:t>
      </w:r>
      <w:r>
        <w:rPr>
          <w:b/>
          <w:bCs/>
          <w:sz w:val="24"/>
          <w:szCs w:val="24"/>
        </w:rPr>
        <w:t>厂界噪声监测分析方法</w:t>
      </w:r>
    </w:p>
    <w:tbl>
      <w:tblPr>
        <w:tblStyle w:val="39"/>
        <w:tblW w:w="868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2670"/>
        <w:gridCol w:w="2385"/>
        <w:gridCol w:w="250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tcBorders>
              <w:tl2br w:val="nil"/>
              <w:tr2bl w:val="nil"/>
            </w:tcBorders>
            <w:vAlign w:val="center"/>
          </w:tcPr>
          <w:p>
            <w:pPr>
              <w:spacing w:line="360" w:lineRule="auto"/>
              <w:jc w:val="center"/>
              <w:rPr>
                <w:b/>
                <w:bCs/>
              </w:rPr>
            </w:pPr>
            <w:r>
              <w:rPr>
                <w:b/>
                <w:bCs/>
              </w:rPr>
              <w:t>序号</w:t>
            </w:r>
          </w:p>
        </w:tc>
        <w:tc>
          <w:tcPr>
            <w:tcW w:w="2670" w:type="dxa"/>
            <w:tcBorders>
              <w:tl2br w:val="nil"/>
              <w:tr2bl w:val="nil"/>
            </w:tcBorders>
            <w:vAlign w:val="center"/>
          </w:tcPr>
          <w:p>
            <w:pPr>
              <w:spacing w:line="360" w:lineRule="auto"/>
              <w:jc w:val="center"/>
              <w:rPr>
                <w:b/>
                <w:bCs/>
              </w:rPr>
            </w:pPr>
            <w:r>
              <w:rPr>
                <w:b/>
                <w:bCs/>
              </w:rPr>
              <w:t>监测项目</w:t>
            </w:r>
          </w:p>
        </w:tc>
        <w:tc>
          <w:tcPr>
            <w:tcW w:w="2385" w:type="dxa"/>
            <w:tcBorders>
              <w:tl2br w:val="nil"/>
              <w:tr2bl w:val="nil"/>
            </w:tcBorders>
            <w:vAlign w:val="center"/>
          </w:tcPr>
          <w:p>
            <w:pPr>
              <w:spacing w:line="360" w:lineRule="auto"/>
              <w:jc w:val="center"/>
              <w:rPr>
                <w:b/>
                <w:bCs/>
              </w:rPr>
            </w:pPr>
            <w:r>
              <w:rPr>
                <w:b/>
                <w:bCs/>
              </w:rPr>
              <w:t>分析方法</w:t>
            </w:r>
          </w:p>
        </w:tc>
        <w:tc>
          <w:tcPr>
            <w:tcW w:w="2504" w:type="dxa"/>
            <w:tcBorders>
              <w:tl2br w:val="nil"/>
              <w:tr2bl w:val="nil"/>
            </w:tcBorders>
            <w:vAlign w:val="center"/>
          </w:tcPr>
          <w:p>
            <w:pPr>
              <w:spacing w:line="360" w:lineRule="auto"/>
              <w:jc w:val="center"/>
              <w:rPr>
                <w:b/>
                <w:bCs/>
              </w:rPr>
            </w:pPr>
            <w:r>
              <w:rPr>
                <w:b/>
                <w:bCs/>
              </w:rPr>
              <w:t>方法来源</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6" w:type="dxa"/>
            <w:tcBorders>
              <w:tl2br w:val="nil"/>
              <w:tr2bl w:val="nil"/>
            </w:tcBorders>
            <w:vAlign w:val="center"/>
          </w:tcPr>
          <w:p>
            <w:pPr>
              <w:spacing w:line="360" w:lineRule="auto"/>
              <w:jc w:val="center"/>
            </w:pPr>
            <w:r>
              <w:t>1</w:t>
            </w:r>
          </w:p>
        </w:tc>
        <w:tc>
          <w:tcPr>
            <w:tcW w:w="2670" w:type="dxa"/>
            <w:tcBorders>
              <w:tl2br w:val="nil"/>
              <w:tr2bl w:val="nil"/>
            </w:tcBorders>
            <w:vAlign w:val="center"/>
          </w:tcPr>
          <w:p>
            <w:pPr>
              <w:spacing w:line="360" w:lineRule="auto"/>
              <w:jc w:val="center"/>
            </w:pPr>
            <w:r>
              <w:t>厂界噪声</w:t>
            </w:r>
          </w:p>
        </w:tc>
        <w:tc>
          <w:tcPr>
            <w:tcW w:w="2385" w:type="dxa"/>
            <w:tcBorders>
              <w:tl2br w:val="nil"/>
              <w:tr2bl w:val="nil"/>
            </w:tcBorders>
            <w:vAlign w:val="center"/>
          </w:tcPr>
          <w:p>
            <w:pPr>
              <w:spacing w:line="360" w:lineRule="auto"/>
              <w:jc w:val="center"/>
            </w:pPr>
            <w:r>
              <w:t>仪器法</w:t>
            </w:r>
          </w:p>
        </w:tc>
        <w:tc>
          <w:tcPr>
            <w:tcW w:w="2504" w:type="dxa"/>
            <w:tcBorders>
              <w:tl2br w:val="nil"/>
              <w:tr2bl w:val="nil"/>
            </w:tcBorders>
            <w:vAlign w:val="center"/>
          </w:tcPr>
          <w:p>
            <w:pPr>
              <w:spacing w:line="360" w:lineRule="auto"/>
              <w:jc w:val="center"/>
            </w:pPr>
            <w:r>
              <w:rPr>
                <w:sz w:val="22"/>
                <w:szCs w:val="22"/>
              </w:rPr>
              <w:t>GB 12348-2008</w:t>
            </w:r>
          </w:p>
        </w:tc>
      </w:tr>
    </w:tbl>
    <w:p>
      <w:pPr>
        <w:pStyle w:val="10"/>
        <w:spacing w:line="360" w:lineRule="auto"/>
      </w:pPr>
      <w:bookmarkStart w:id="79" w:name="_Toc21478"/>
      <w:r>
        <w:t>8.2监测仪器</w:t>
      </w:r>
      <w:bookmarkEnd w:id="79"/>
    </w:p>
    <w:p>
      <w:pPr>
        <w:spacing w:line="360" w:lineRule="auto"/>
        <w:ind w:right="105" w:rightChars="50" w:firstLine="361" w:firstLineChars="150"/>
        <w:jc w:val="center"/>
        <w:rPr>
          <w:b/>
          <w:bCs/>
          <w:sz w:val="24"/>
          <w:szCs w:val="24"/>
        </w:rPr>
      </w:pPr>
      <w:r>
        <w:rPr>
          <w:b/>
          <w:bCs/>
          <w:sz w:val="24"/>
          <w:szCs w:val="24"/>
        </w:rPr>
        <w:t>表8.2-1仪器一览表</w:t>
      </w:r>
    </w:p>
    <w:tbl>
      <w:tblPr>
        <w:tblStyle w:val="39"/>
        <w:tblW w:w="877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653"/>
        <w:gridCol w:w="3691"/>
        <w:gridCol w:w="260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tblHeader/>
          <w:jc w:val="center"/>
        </w:trPr>
        <w:tc>
          <w:tcPr>
            <w:tcW w:w="827" w:type="dxa"/>
            <w:tcBorders>
              <w:tl2br w:val="nil"/>
              <w:tr2bl w:val="nil"/>
            </w:tcBorders>
            <w:vAlign w:val="center"/>
          </w:tcPr>
          <w:p>
            <w:pPr>
              <w:jc w:val="center"/>
              <w:rPr>
                <w:b/>
                <w:bCs/>
              </w:rPr>
            </w:pPr>
            <w:r>
              <w:rPr>
                <w:b/>
                <w:bCs/>
              </w:rPr>
              <w:t>序号</w:t>
            </w:r>
          </w:p>
        </w:tc>
        <w:tc>
          <w:tcPr>
            <w:tcW w:w="1653" w:type="dxa"/>
            <w:tcBorders>
              <w:tl2br w:val="nil"/>
              <w:tr2bl w:val="nil"/>
            </w:tcBorders>
            <w:vAlign w:val="center"/>
          </w:tcPr>
          <w:p>
            <w:pPr>
              <w:jc w:val="center"/>
              <w:rPr>
                <w:b/>
                <w:bCs/>
              </w:rPr>
            </w:pPr>
            <w:r>
              <w:rPr>
                <w:b/>
                <w:bCs/>
              </w:rPr>
              <w:t>仪器编号</w:t>
            </w:r>
          </w:p>
        </w:tc>
        <w:tc>
          <w:tcPr>
            <w:tcW w:w="3691" w:type="dxa"/>
            <w:tcBorders>
              <w:tl2br w:val="nil"/>
              <w:tr2bl w:val="nil"/>
            </w:tcBorders>
            <w:vAlign w:val="center"/>
          </w:tcPr>
          <w:p>
            <w:pPr>
              <w:jc w:val="center"/>
              <w:rPr>
                <w:b/>
                <w:bCs/>
              </w:rPr>
            </w:pPr>
            <w:r>
              <w:rPr>
                <w:b/>
                <w:bCs/>
              </w:rPr>
              <w:t>仪器名称</w:t>
            </w:r>
          </w:p>
        </w:tc>
        <w:tc>
          <w:tcPr>
            <w:tcW w:w="2607" w:type="dxa"/>
            <w:tcBorders>
              <w:tl2br w:val="nil"/>
              <w:tr2bl w:val="nil"/>
            </w:tcBorders>
            <w:vAlign w:val="center"/>
          </w:tcPr>
          <w:p>
            <w:pPr>
              <w:jc w:val="center"/>
              <w:rPr>
                <w:b/>
                <w:bCs/>
              </w:rPr>
            </w:pPr>
            <w:r>
              <w:rPr>
                <w:b/>
                <w:bCs/>
              </w:rPr>
              <w:t>仪器型号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t>1</w:t>
            </w:r>
          </w:p>
        </w:tc>
        <w:tc>
          <w:tcPr>
            <w:tcW w:w="1653" w:type="dxa"/>
            <w:tcBorders>
              <w:tl2br w:val="nil"/>
              <w:tr2bl w:val="nil"/>
            </w:tcBorders>
            <w:vAlign w:val="center"/>
          </w:tcPr>
          <w:p>
            <w:pPr>
              <w:jc w:val="center"/>
              <w:rPr>
                <w:szCs w:val="24"/>
              </w:rPr>
            </w:pPr>
            <w:r>
              <w:rPr>
                <w:szCs w:val="24"/>
              </w:rPr>
              <w:t>WKJC-108</w:t>
            </w:r>
          </w:p>
        </w:tc>
        <w:tc>
          <w:tcPr>
            <w:tcW w:w="3691" w:type="dxa"/>
            <w:tcBorders>
              <w:tl2br w:val="nil"/>
              <w:tr2bl w:val="nil"/>
            </w:tcBorders>
            <w:vAlign w:val="center"/>
          </w:tcPr>
          <w:p>
            <w:pPr>
              <w:jc w:val="center"/>
              <w:rPr>
                <w:szCs w:val="24"/>
              </w:rPr>
            </w:pPr>
            <w:r>
              <w:rPr>
                <w:szCs w:val="24"/>
              </w:rPr>
              <w:t>数显温湿度表</w:t>
            </w:r>
          </w:p>
        </w:tc>
        <w:tc>
          <w:tcPr>
            <w:tcW w:w="2607" w:type="dxa"/>
            <w:tcBorders>
              <w:tl2br w:val="nil"/>
              <w:tr2bl w:val="nil"/>
            </w:tcBorders>
            <w:vAlign w:val="center"/>
          </w:tcPr>
          <w:p>
            <w:pPr>
              <w:jc w:val="center"/>
              <w:rPr>
                <w:szCs w:val="24"/>
              </w:rPr>
            </w:pPr>
            <w:r>
              <w:rPr>
                <w:szCs w:val="24"/>
              </w:rPr>
              <w:t>HTC-1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t>2</w:t>
            </w:r>
          </w:p>
        </w:tc>
        <w:tc>
          <w:tcPr>
            <w:tcW w:w="1653" w:type="dxa"/>
            <w:tcBorders>
              <w:tl2br w:val="nil"/>
              <w:tr2bl w:val="nil"/>
            </w:tcBorders>
            <w:vAlign w:val="center"/>
          </w:tcPr>
          <w:p>
            <w:pPr>
              <w:jc w:val="center"/>
              <w:rPr>
                <w:szCs w:val="24"/>
              </w:rPr>
            </w:pPr>
            <w:r>
              <w:rPr>
                <w:szCs w:val="24"/>
              </w:rPr>
              <w:t>WKJC-120</w:t>
            </w:r>
          </w:p>
        </w:tc>
        <w:tc>
          <w:tcPr>
            <w:tcW w:w="3691" w:type="dxa"/>
            <w:tcBorders>
              <w:tl2br w:val="nil"/>
              <w:tr2bl w:val="nil"/>
            </w:tcBorders>
            <w:vAlign w:val="center"/>
          </w:tcPr>
          <w:p>
            <w:pPr>
              <w:jc w:val="center"/>
              <w:rPr>
                <w:szCs w:val="24"/>
              </w:rPr>
            </w:pPr>
            <w:r>
              <w:rPr>
                <w:szCs w:val="24"/>
              </w:rPr>
              <w:t>气相色谱仪</w:t>
            </w:r>
          </w:p>
        </w:tc>
        <w:tc>
          <w:tcPr>
            <w:tcW w:w="2607" w:type="dxa"/>
            <w:tcBorders>
              <w:tl2br w:val="nil"/>
              <w:tr2bl w:val="nil"/>
            </w:tcBorders>
            <w:vAlign w:val="center"/>
          </w:tcPr>
          <w:p>
            <w:pPr>
              <w:jc w:val="center"/>
              <w:rPr>
                <w:szCs w:val="24"/>
              </w:rPr>
            </w:pPr>
            <w:r>
              <w:rPr>
                <w:szCs w:val="24"/>
              </w:rPr>
              <w:t>GC9790-II</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t>3</w:t>
            </w:r>
          </w:p>
        </w:tc>
        <w:tc>
          <w:tcPr>
            <w:tcW w:w="1653" w:type="dxa"/>
            <w:tcBorders>
              <w:tl2br w:val="nil"/>
              <w:tr2bl w:val="nil"/>
            </w:tcBorders>
            <w:vAlign w:val="center"/>
          </w:tcPr>
          <w:p>
            <w:pPr>
              <w:jc w:val="center"/>
              <w:rPr>
                <w:szCs w:val="24"/>
              </w:rPr>
            </w:pPr>
            <w:r>
              <w:rPr>
                <w:szCs w:val="24"/>
              </w:rPr>
              <w:t>WKJC-141</w:t>
            </w:r>
          </w:p>
        </w:tc>
        <w:tc>
          <w:tcPr>
            <w:tcW w:w="3691" w:type="dxa"/>
            <w:tcBorders>
              <w:tl2br w:val="nil"/>
              <w:tr2bl w:val="nil"/>
            </w:tcBorders>
            <w:vAlign w:val="center"/>
          </w:tcPr>
          <w:p>
            <w:pPr>
              <w:jc w:val="center"/>
              <w:rPr>
                <w:szCs w:val="24"/>
              </w:rPr>
            </w:pPr>
            <w:r>
              <w:rPr>
                <w:szCs w:val="24"/>
              </w:rPr>
              <w:t>大气采样器</w:t>
            </w:r>
          </w:p>
        </w:tc>
        <w:tc>
          <w:tcPr>
            <w:tcW w:w="2607" w:type="dxa"/>
            <w:tcBorders>
              <w:tl2br w:val="nil"/>
              <w:tr2bl w:val="nil"/>
            </w:tcBorders>
            <w:vAlign w:val="center"/>
          </w:tcPr>
          <w:p>
            <w:pPr>
              <w:jc w:val="center"/>
              <w:rPr>
                <w:szCs w:val="24"/>
              </w:rPr>
            </w:pPr>
            <w:r>
              <w:rPr>
                <w:szCs w:val="24"/>
              </w:rPr>
              <w:t>KB-6E</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t>4</w:t>
            </w:r>
          </w:p>
        </w:tc>
        <w:tc>
          <w:tcPr>
            <w:tcW w:w="1653" w:type="dxa"/>
            <w:tcBorders>
              <w:tl2br w:val="nil"/>
              <w:tr2bl w:val="nil"/>
            </w:tcBorders>
            <w:vAlign w:val="center"/>
          </w:tcPr>
          <w:p>
            <w:pPr>
              <w:jc w:val="center"/>
              <w:rPr>
                <w:szCs w:val="24"/>
              </w:rPr>
            </w:pPr>
            <w:r>
              <w:rPr>
                <w:szCs w:val="24"/>
              </w:rPr>
              <w:t>WKJC-142</w:t>
            </w:r>
          </w:p>
        </w:tc>
        <w:tc>
          <w:tcPr>
            <w:tcW w:w="3691" w:type="dxa"/>
            <w:tcBorders>
              <w:tl2br w:val="nil"/>
              <w:tr2bl w:val="nil"/>
            </w:tcBorders>
            <w:vAlign w:val="center"/>
          </w:tcPr>
          <w:p>
            <w:pPr>
              <w:jc w:val="center"/>
              <w:rPr>
                <w:szCs w:val="24"/>
              </w:rPr>
            </w:pPr>
            <w:r>
              <w:rPr>
                <w:szCs w:val="24"/>
              </w:rPr>
              <w:t>大气采样器</w:t>
            </w:r>
          </w:p>
        </w:tc>
        <w:tc>
          <w:tcPr>
            <w:tcW w:w="2607" w:type="dxa"/>
            <w:tcBorders>
              <w:tl2br w:val="nil"/>
              <w:tr2bl w:val="nil"/>
            </w:tcBorders>
            <w:vAlign w:val="center"/>
          </w:tcPr>
          <w:p>
            <w:pPr>
              <w:jc w:val="center"/>
              <w:rPr>
                <w:szCs w:val="24"/>
              </w:rPr>
            </w:pPr>
            <w:r>
              <w:rPr>
                <w:szCs w:val="24"/>
              </w:rPr>
              <w:t>KB-6E</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t>5</w:t>
            </w:r>
          </w:p>
        </w:tc>
        <w:tc>
          <w:tcPr>
            <w:tcW w:w="1653" w:type="dxa"/>
            <w:tcBorders>
              <w:tl2br w:val="nil"/>
              <w:tr2bl w:val="nil"/>
            </w:tcBorders>
            <w:vAlign w:val="center"/>
          </w:tcPr>
          <w:p>
            <w:pPr>
              <w:jc w:val="center"/>
              <w:rPr>
                <w:szCs w:val="24"/>
              </w:rPr>
            </w:pPr>
            <w:r>
              <w:rPr>
                <w:szCs w:val="24"/>
              </w:rPr>
              <w:t>WKJC-147</w:t>
            </w:r>
          </w:p>
        </w:tc>
        <w:tc>
          <w:tcPr>
            <w:tcW w:w="3691" w:type="dxa"/>
            <w:tcBorders>
              <w:tl2br w:val="nil"/>
              <w:tr2bl w:val="nil"/>
            </w:tcBorders>
            <w:vAlign w:val="center"/>
          </w:tcPr>
          <w:p>
            <w:pPr>
              <w:jc w:val="center"/>
              <w:rPr>
                <w:szCs w:val="24"/>
              </w:rPr>
            </w:pPr>
            <w:r>
              <w:rPr>
                <w:szCs w:val="24"/>
              </w:rPr>
              <w:t>空盒气压表</w:t>
            </w:r>
          </w:p>
        </w:tc>
        <w:tc>
          <w:tcPr>
            <w:tcW w:w="2607" w:type="dxa"/>
            <w:tcBorders>
              <w:tl2br w:val="nil"/>
              <w:tr2bl w:val="nil"/>
            </w:tcBorders>
            <w:vAlign w:val="center"/>
          </w:tcPr>
          <w:p>
            <w:pPr>
              <w:jc w:val="center"/>
              <w:rPr>
                <w:szCs w:val="24"/>
              </w:rPr>
            </w:pPr>
            <w:r>
              <w:rPr>
                <w:szCs w:val="24"/>
              </w:rPr>
              <w:t>DYM3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t>6</w:t>
            </w:r>
          </w:p>
        </w:tc>
        <w:tc>
          <w:tcPr>
            <w:tcW w:w="1653" w:type="dxa"/>
            <w:tcBorders>
              <w:tl2br w:val="nil"/>
              <w:tr2bl w:val="nil"/>
            </w:tcBorders>
            <w:vAlign w:val="center"/>
          </w:tcPr>
          <w:p>
            <w:pPr>
              <w:jc w:val="center"/>
              <w:rPr>
                <w:szCs w:val="24"/>
              </w:rPr>
            </w:pPr>
            <w:r>
              <w:rPr>
                <w:szCs w:val="24"/>
              </w:rPr>
              <w:t>WKJC-176</w:t>
            </w:r>
          </w:p>
        </w:tc>
        <w:tc>
          <w:tcPr>
            <w:tcW w:w="3691" w:type="dxa"/>
            <w:tcBorders>
              <w:tl2br w:val="nil"/>
              <w:tr2bl w:val="nil"/>
            </w:tcBorders>
            <w:vAlign w:val="center"/>
          </w:tcPr>
          <w:p>
            <w:pPr>
              <w:jc w:val="center"/>
              <w:rPr>
                <w:szCs w:val="24"/>
              </w:rPr>
            </w:pPr>
            <w:r>
              <w:rPr>
                <w:szCs w:val="24"/>
              </w:rPr>
              <w:t>多功能声级计</w:t>
            </w:r>
          </w:p>
        </w:tc>
        <w:tc>
          <w:tcPr>
            <w:tcW w:w="2607" w:type="dxa"/>
            <w:tcBorders>
              <w:tl2br w:val="nil"/>
              <w:tr2bl w:val="nil"/>
            </w:tcBorders>
            <w:vAlign w:val="center"/>
          </w:tcPr>
          <w:p>
            <w:pPr>
              <w:jc w:val="center"/>
              <w:rPr>
                <w:szCs w:val="24"/>
              </w:rPr>
            </w:pPr>
            <w:r>
              <w:rPr>
                <w:szCs w:val="24"/>
              </w:rPr>
              <w:t>AWA6228+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t>7</w:t>
            </w:r>
          </w:p>
        </w:tc>
        <w:tc>
          <w:tcPr>
            <w:tcW w:w="1653" w:type="dxa"/>
            <w:tcBorders>
              <w:tl2br w:val="nil"/>
              <w:tr2bl w:val="nil"/>
            </w:tcBorders>
            <w:vAlign w:val="center"/>
          </w:tcPr>
          <w:p>
            <w:pPr>
              <w:jc w:val="center"/>
              <w:rPr>
                <w:szCs w:val="24"/>
              </w:rPr>
            </w:pPr>
            <w:r>
              <w:rPr>
                <w:szCs w:val="24"/>
              </w:rPr>
              <w:t>WKJC-177</w:t>
            </w:r>
          </w:p>
        </w:tc>
        <w:tc>
          <w:tcPr>
            <w:tcW w:w="3691" w:type="dxa"/>
            <w:tcBorders>
              <w:tl2br w:val="nil"/>
              <w:tr2bl w:val="nil"/>
            </w:tcBorders>
            <w:vAlign w:val="center"/>
          </w:tcPr>
          <w:p>
            <w:pPr>
              <w:jc w:val="center"/>
              <w:rPr>
                <w:szCs w:val="24"/>
              </w:rPr>
            </w:pPr>
            <w:r>
              <w:rPr>
                <w:szCs w:val="24"/>
              </w:rPr>
              <w:t>声校准器</w:t>
            </w:r>
          </w:p>
        </w:tc>
        <w:tc>
          <w:tcPr>
            <w:tcW w:w="2607" w:type="dxa"/>
            <w:tcBorders>
              <w:tl2br w:val="nil"/>
              <w:tr2bl w:val="nil"/>
            </w:tcBorders>
            <w:vAlign w:val="center"/>
          </w:tcPr>
          <w:p>
            <w:pPr>
              <w:jc w:val="center"/>
              <w:rPr>
                <w:szCs w:val="24"/>
              </w:rPr>
            </w:pPr>
            <w:r>
              <w:rPr>
                <w:szCs w:val="24"/>
              </w:rPr>
              <w:t>AWA6021A</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t>8</w:t>
            </w:r>
          </w:p>
        </w:tc>
        <w:tc>
          <w:tcPr>
            <w:tcW w:w="1653" w:type="dxa"/>
            <w:tcBorders>
              <w:tl2br w:val="nil"/>
              <w:tr2bl w:val="nil"/>
            </w:tcBorders>
            <w:vAlign w:val="center"/>
          </w:tcPr>
          <w:p>
            <w:pPr>
              <w:jc w:val="center"/>
              <w:rPr>
                <w:szCs w:val="24"/>
              </w:rPr>
            </w:pPr>
            <w:r>
              <w:rPr>
                <w:szCs w:val="24"/>
              </w:rPr>
              <w:t>WKJC-188</w:t>
            </w:r>
          </w:p>
        </w:tc>
        <w:tc>
          <w:tcPr>
            <w:tcW w:w="3691" w:type="dxa"/>
            <w:tcBorders>
              <w:tl2br w:val="nil"/>
              <w:tr2bl w:val="nil"/>
            </w:tcBorders>
            <w:vAlign w:val="center"/>
          </w:tcPr>
          <w:p>
            <w:pPr>
              <w:jc w:val="center"/>
              <w:rPr>
                <w:szCs w:val="24"/>
              </w:rPr>
            </w:pPr>
            <w:r>
              <w:rPr>
                <w:szCs w:val="24"/>
              </w:rPr>
              <w:t>离子色谱仪</w:t>
            </w:r>
          </w:p>
        </w:tc>
        <w:tc>
          <w:tcPr>
            <w:tcW w:w="2607" w:type="dxa"/>
            <w:tcBorders>
              <w:tl2br w:val="nil"/>
              <w:tr2bl w:val="nil"/>
            </w:tcBorders>
            <w:vAlign w:val="center"/>
          </w:tcPr>
          <w:p>
            <w:pPr>
              <w:jc w:val="center"/>
              <w:rPr>
                <w:szCs w:val="24"/>
              </w:rPr>
            </w:pPr>
            <w:r>
              <w:rPr>
                <w:szCs w:val="24"/>
              </w:rPr>
              <w:t>CIC-D120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t>9</w:t>
            </w:r>
          </w:p>
        </w:tc>
        <w:tc>
          <w:tcPr>
            <w:tcW w:w="1653" w:type="dxa"/>
            <w:tcBorders>
              <w:tl2br w:val="nil"/>
              <w:tr2bl w:val="nil"/>
            </w:tcBorders>
            <w:vAlign w:val="center"/>
          </w:tcPr>
          <w:p>
            <w:pPr>
              <w:jc w:val="center"/>
              <w:rPr>
                <w:szCs w:val="24"/>
              </w:rPr>
            </w:pPr>
            <w:r>
              <w:rPr>
                <w:szCs w:val="24"/>
              </w:rPr>
              <w:t>WKJC-218</w:t>
            </w:r>
          </w:p>
        </w:tc>
        <w:tc>
          <w:tcPr>
            <w:tcW w:w="3691" w:type="dxa"/>
            <w:tcBorders>
              <w:tl2br w:val="nil"/>
              <w:tr2bl w:val="nil"/>
            </w:tcBorders>
            <w:vAlign w:val="center"/>
          </w:tcPr>
          <w:p>
            <w:pPr>
              <w:jc w:val="center"/>
              <w:rPr>
                <w:szCs w:val="24"/>
              </w:rPr>
            </w:pPr>
            <w:r>
              <w:rPr>
                <w:szCs w:val="24"/>
              </w:rPr>
              <w:t>阻容法烟气含湿量多功能检测器</w:t>
            </w:r>
          </w:p>
        </w:tc>
        <w:tc>
          <w:tcPr>
            <w:tcW w:w="2607" w:type="dxa"/>
            <w:tcBorders>
              <w:tl2br w:val="nil"/>
              <w:tr2bl w:val="nil"/>
            </w:tcBorders>
            <w:vAlign w:val="center"/>
          </w:tcPr>
          <w:p>
            <w:pPr>
              <w:jc w:val="center"/>
              <w:rPr>
                <w:szCs w:val="24"/>
              </w:rPr>
            </w:pPr>
            <w:r>
              <w:rPr>
                <w:szCs w:val="24"/>
              </w:rPr>
              <w:t>1062B</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t>10</w:t>
            </w:r>
          </w:p>
        </w:tc>
        <w:tc>
          <w:tcPr>
            <w:tcW w:w="1653" w:type="dxa"/>
            <w:tcBorders>
              <w:tl2br w:val="nil"/>
              <w:tr2bl w:val="nil"/>
            </w:tcBorders>
            <w:vAlign w:val="center"/>
          </w:tcPr>
          <w:p>
            <w:pPr>
              <w:jc w:val="center"/>
              <w:rPr>
                <w:szCs w:val="24"/>
              </w:rPr>
            </w:pPr>
            <w:r>
              <w:rPr>
                <w:szCs w:val="24"/>
              </w:rPr>
              <w:t>WKJC-233</w:t>
            </w:r>
          </w:p>
        </w:tc>
        <w:tc>
          <w:tcPr>
            <w:tcW w:w="3691" w:type="dxa"/>
            <w:tcBorders>
              <w:tl2br w:val="nil"/>
              <w:tr2bl w:val="nil"/>
            </w:tcBorders>
            <w:vAlign w:val="center"/>
          </w:tcPr>
          <w:p>
            <w:pPr>
              <w:jc w:val="center"/>
              <w:rPr>
                <w:szCs w:val="24"/>
              </w:rPr>
            </w:pPr>
            <w:r>
              <w:rPr>
                <w:szCs w:val="24"/>
              </w:rPr>
              <w:t>环境空气综合采样器</w:t>
            </w:r>
          </w:p>
        </w:tc>
        <w:tc>
          <w:tcPr>
            <w:tcW w:w="2607" w:type="dxa"/>
            <w:tcBorders>
              <w:tl2br w:val="nil"/>
              <w:tr2bl w:val="nil"/>
            </w:tcBorders>
            <w:vAlign w:val="center"/>
          </w:tcPr>
          <w:p>
            <w:pPr>
              <w:jc w:val="center"/>
              <w:rPr>
                <w:szCs w:val="24"/>
              </w:rPr>
            </w:pPr>
            <w:r>
              <w:rPr>
                <w:szCs w:val="24"/>
              </w:rPr>
              <w:t>2050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rPr>
                <w:rFonts w:hint="eastAsia"/>
              </w:rPr>
              <w:t>11</w:t>
            </w:r>
          </w:p>
        </w:tc>
        <w:tc>
          <w:tcPr>
            <w:tcW w:w="1653" w:type="dxa"/>
            <w:tcBorders>
              <w:tl2br w:val="nil"/>
              <w:tr2bl w:val="nil"/>
            </w:tcBorders>
            <w:vAlign w:val="center"/>
          </w:tcPr>
          <w:p>
            <w:pPr>
              <w:jc w:val="center"/>
              <w:rPr>
                <w:szCs w:val="24"/>
              </w:rPr>
            </w:pPr>
            <w:r>
              <w:rPr>
                <w:szCs w:val="24"/>
              </w:rPr>
              <w:t>WKJC-234</w:t>
            </w:r>
          </w:p>
        </w:tc>
        <w:tc>
          <w:tcPr>
            <w:tcW w:w="3691" w:type="dxa"/>
            <w:tcBorders>
              <w:tl2br w:val="nil"/>
              <w:tr2bl w:val="nil"/>
            </w:tcBorders>
            <w:vAlign w:val="center"/>
          </w:tcPr>
          <w:p>
            <w:pPr>
              <w:jc w:val="center"/>
              <w:rPr>
                <w:szCs w:val="24"/>
              </w:rPr>
            </w:pPr>
            <w:r>
              <w:rPr>
                <w:szCs w:val="24"/>
              </w:rPr>
              <w:t>环境空气综合采样器</w:t>
            </w:r>
          </w:p>
        </w:tc>
        <w:tc>
          <w:tcPr>
            <w:tcW w:w="2607" w:type="dxa"/>
            <w:tcBorders>
              <w:tl2br w:val="nil"/>
              <w:tr2bl w:val="nil"/>
            </w:tcBorders>
            <w:vAlign w:val="center"/>
          </w:tcPr>
          <w:p>
            <w:pPr>
              <w:jc w:val="center"/>
              <w:rPr>
                <w:szCs w:val="24"/>
              </w:rPr>
            </w:pPr>
            <w:r>
              <w:rPr>
                <w:szCs w:val="24"/>
              </w:rPr>
              <w:t>2050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rPr>
                <w:rFonts w:hint="eastAsia"/>
              </w:rPr>
              <w:t>12</w:t>
            </w:r>
          </w:p>
        </w:tc>
        <w:tc>
          <w:tcPr>
            <w:tcW w:w="1653" w:type="dxa"/>
            <w:tcBorders>
              <w:tl2br w:val="nil"/>
              <w:tr2bl w:val="nil"/>
            </w:tcBorders>
            <w:vAlign w:val="center"/>
          </w:tcPr>
          <w:p>
            <w:pPr>
              <w:jc w:val="center"/>
              <w:rPr>
                <w:szCs w:val="24"/>
              </w:rPr>
            </w:pPr>
            <w:r>
              <w:rPr>
                <w:szCs w:val="24"/>
              </w:rPr>
              <w:t>WKJC-240</w:t>
            </w:r>
          </w:p>
        </w:tc>
        <w:tc>
          <w:tcPr>
            <w:tcW w:w="3691" w:type="dxa"/>
            <w:tcBorders>
              <w:tl2br w:val="nil"/>
              <w:tr2bl w:val="nil"/>
            </w:tcBorders>
            <w:vAlign w:val="center"/>
          </w:tcPr>
          <w:p>
            <w:pPr>
              <w:jc w:val="center"/>
              <w:rPr>
                <w:szCs w:val="24"/>
              </w:rPr>
            </w:pPr>
            <w:r>
              <w:rPr>
                <w:szCs w:val="24"/>
              </w:rPr>
              <w:t>真空箱采样箱</w:t>
            </w:r>
          </w:p>
        </w:tc>
        <w:tc>
          <w:tcPr>
            <w:tcW w:w="2607" w:type="dxa"/>
            <w:tcBorders>
              <w:tl2br w:val="nil"/>
              <w:tr2bl w:val="nil"/>
            </w:tcBorders>
            <w:vAlign w:val="center"/>
          </w:tcPr>
          <w:p>
            <w:pPr>
              <w:jc w:val="center"/>
              <w:rPr>
                <w:szCs w:val="24"/>
              </w:rPr>
            </w:pPr>
            <w:r>
              <w:rPr>
                <w:szCs w:val="24"/>
              </w:rPr>
              <w:t>MH3052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rPr>
                <w:rFonts w:hint="eastAsia"/>
              </w:rPr>
              <w:t>13</w:t>
            </w:r>
          </w:p>
        </w:tc>
        <w:tc>
          <w:tcPr>
            <w:tcW w:w="1653" w:type="dxa"/>
            <w:tcBorders>
              <w:tl2br w:val="nil"/>
              <w:tr2bl w:val="nil"/>
            </w:tcBorders>
            <w:vAlign w:val="center"/>
          </w:tcPr>
          <w:p>
            <w:pPr>
              <w:jc w:val="center"/>
              <w:rPr>
                <w:szCs w:val="24"/>
              </w:rPr>
            </w:pPr>
            <w:r>
              <w:rPr>
                <w:szCs w:val="24"/>
              </w:rPr>
              <w:t>WKJC-244</w:t>
            </w:r>
          </w:p>
        </w:tc>
        <w:tc>
          <w:tcPr>
            <w:tcW w:w="3691" w:type="dxa"/>
            <w:tcBorders>
              <w:tl2br w:val="nil"/>
              <w:tr2bl w:val="nil"/>
            </w:tcBorders>
            <w:vAlign w:val="center"/>
          </w:tcPr>
          <w:p>
            <w:pPr>
              <w:jc w:val="center"/>
              <w:rPr>
                <w:szCs w:val="24"/>
              </w:rPr>
            </w:pPr>
            <w:r>
              <w:rPr>
                <w:szCs w:val="24"/>
              </w:rPr>
              <w:t>紫外可见分光光度计</w:t>
            </w:r>
          </w:p>
        </w:tc>
        <w:tc>
          <w:tcPr>
            <w:tcW w:w="2607" w:type="dxa"/>
            <w:tcBorders>
              <w:tl2br w:val="nil"/>
              <w:tr2bl w:val="nil"/>
            </w:tcBorders>
            <w:vAlign w:val="center"/>
          </w:tcPr>
          <w:p>
            <w:pPr>
              <w:jc w:val="center"/>
              <w:rPr>
                <w:szCs w:val="24"/>
              </w:rPr>
            </w:pPr>
            <w:r>
              <w:rPr>
                <w:szCs w:val="24"/>
              </w:rPr>
              <w:t>TU-1810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rPr>
                <w:rFonts w:hint="eastAsia"/>
              </w:rPr>
              <w:t>14</w:t>
            </w:r>
          </w:p>
        </w:tc>
        <w:tc>
          <w:tcPr>
            <w:tcW w:w="1653" w:type="dxa"/>
            <w:tcBorders>
              <w:tl2br w:val="nil"/>
              <w:tr2bl w:val="nil"/>
            </w:tcBorders>
            <w:vAlign w:val="center"/>
          </w:tcPr>
          <w:p>
            <w:pPr>
              <w:jc w:val="center"/>
              <w:rPr>
                <w:szCs w:val="24"/>
              </w:rPr>
            </w:pPr>
            <w:r>
              <w:rPr>
                <w:szCs w:val="24"/>
              </w:rPr>
              <w:t>WKJC-69</w:t>
            </w:r>
          </w:p>
        </w:tc>
        <w:tc>
          <w:tcPr>
            <w:tcW w:w="3691" w:type="dxa"/>
            <w:tcBorders>
              <w:tl2br w:val="nil"/>
              <w:tr2bl w:val="nil"/>
            </w:tcBorders>
            <w:vAlign w:val="center"/>
          </w:tcPr>
          <w:p>
            <w:pPr>
              <w:jc w:val="center"/>
              <w:rPr>
                <w:szCs w:val="24"/>
              </w:rPr>
            </w:pPr>
            <w:r>
              <w:rPr>
                <w:szCs w:val="24"/>
              </w:rPr>
              <w:t>大气采样器</w:t>
            </w:r>
          </w:p>
        </w:tc>
        <w:tc>
          <w:tcPr>
            <w:tcW w:w="2607" w:type="dxa"/>
            <w:tcBorders>
              <w:tl2br w:val="nil"/>
              <w:tr2bl w:val="nil"/>
            </w:tcBorders>
            <w:vAlign w:val="center"/>
          </w:tcPr>
          <w:p>
            <w:pPr>
              <w:jc w:val="center"/>
              <w:rPr>
                <w:szCs w:val="24"/>
              </w:rPr>
            </w:pPr>
            <w:r>
              <w:rPr>
                <w:szCs w:val="24"/>
              </w:rPr>
              <w:t>KB-6E</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rPr>
                <w:rFonts w:hint="eastAsia"/>
              </w:rPr>
              <w:t>15</w:t>
            </w:r>
          </w:p>
        </w:tc>
        <w:tc>
          <w:tcPr>
            <w:tcW w:w="1653" w:type="dxa"/>
            <w:tcBorders>
              <w:tl2br w:val="nil"/>
              <w:tr2bl w:val="nil"/>
            </w:tcBorders>
            <w:vAlign w:val="center"/>
          </w:tcPr>
          <w:p>
            <w:pPr>
              <w:jc w:val="center"/>
              <w:rPr>
                <w:szCs w:val="24"/>
              </w:rPr>
            </w:pPr>
            <w:r>
              <w:rPr>
                <w:szCs w:val="24"/>
              </w:rPr>
              <w:t>WKJC-76</w:t>
            </w:r>
          </w:p>
        </w:tc>
        <w:tc>
          <w:tcPr>
            <w:tcW w:w="3691" w:type="dxa"/>
            <w:tcBorders>
              <w:tl2br w:val="nil"/>
              <w:tr2bl w:val="nil"/>
            </w:tcBorders>
            <w:vAlign w:val="center"/>
          </w:tcPr>
          <w:p>
            <w:pPr>
              <w:jc w:val="center"/>
              <w:rPr>
                <w:szCs w:val="24"/>
              </w:rPr>
            </w:pPr>
            <w:r>
              <w:rPr>
                <w:szCs w:val="24"/>
              </w:rPr>
              <w:t>多功能声级计</w:t>
            </w:r>
          </w:p>
        </w:tc>
        <w:tc>
          <w:tcPr>
            <w:tcW w:w="2607" w:type="dxa"/>
            <w:tcBorders>
              <w:tl2br w:val="nil"/>
              <w:tr2bl w:val="nil"/>
            </w:tcBorders>
            <w:vAlign w:val="center"/>
          </w:tcPr>
          <w:p>
            <w:pPr>
              <w:jc w:val="center"/>
              <w:rPr>
                <w:szCs w:val="24"/>
              </w:rPr>
            </w:pPr>
            <w:r>
              <w:rPr>
                <w:szCs w:val="24"/>
              </w:rPr>
              <w:t>AWA5680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rPr>
                <w:rFonts w:hint="eastAsia"/>
              </w:rPr>
              <w:t>16</w:t>
            </w:r>
          </w:p>
        </w:tc>
        <w:tc>
          <w:tcPr>
            <w:tcW w:w="1653" w:type="dxa"/>
            <w:tcBorders>
              <w:tl2br w:val="nil"/>
              <w:tr2bl w:val="nil"/>
            </w:tcBorders>
            <w:vAlign w:val="center"/>
          </w:tcPr>
          <w:p>
            <w:pPr>
              <w:jc w:val="center"/>
              <w:rPr>
                <w:szCs w:val="24"/>
              </w:rPr>
            </w:pPr>
            <w:r>
              <w:rPr>
                <w:szCs w:val="24"/>
              </w:rPr>
              <w:t>WKJC-77</w:t>
            </w:r>
          </w:p>
        </w:tc>
        <w:tc>
          <w:tcPr>
            <w:tcW w:w="3691" w:type="dxa"/>
            <w:tcBorders>
              <w:tl2br w:val="nil"/>
              <w:tr2bl w:val="nil"/>
            </w:tcBorders>
            <w:vAlign w:val="center"/>
          </w:tcPr>
          <w:p>
            <w:pPr>
              <w:jc w:val="center"/>
              <w:rPr>
                <w:szCs w:val="24"/>
              </w:rPr>
            </w:pPr>
            <w:r>
              <w:rPr>
                <w:szCs w:val="24"/>
              </w:rPr>
              <w:t>声校准器</w:t>
            </w:r>
          </w:p>
        </w:tc>
        <w:tc>
          <w:tcPr>
            <w:tcW w:w="2607" w:type="dxa"/>
            <w:tcBorders>
              <w:tl2br w:val="nil"/>
              <w:tr2bl w:val="nil"/>
            </w:tcBorders>
            <w:vAlign w:val="center"/>
          </w:tcPr>
          <w:p>
            <w:pPr>
              <w:jc w:val="center"/>
              <w:rPr>
                <w:szCs w:val="24"/>
              </w:rPr>
            </w:pPr>
            <w:r>
              <w:rPr>
                <w:szCs w:val="24"/>
              </w:rPr>
              <w:t>AWA6221B</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27" w:type="dxa"/>
            <w:tcBorders>
              <w:tl2br w:val="nil"/>
              <w:tr2bl w:val="nil"/>
            </w:tcBorders>
            <w:vAlign w:val="center"/>
          </w:tcPr>
          <w:p>
            <w:pPr>
              <w:spacing w:line="360" w:lineRule="auto"/>
              <w:jc w:val="center"/>
            </w:pPr>
            <w:r>
              <w:rPr>
                <w:rFonts w:hint="eastAsia"/>
              </w:rPr>
              <w:t>17</w:t>
            </w:r>
          </w:p>
        </w:tc>
        <w:tc>
          <w:tcPr>
            <w:tcW w:w="1653" w:type="dxa"/>
            <w:tcBorders>
              <w:tl2br w:val="nil"/>
              <w:tr2bl w:val="nil"/>
            </w:tcBorders>
            <w:vAlign w:val="center"/>
          </w:tcPr>
          <w:p>
            <w:pPr>
              <w:jc w:val="center"/>
              <w:rPr>
                <w:szCs w:val="24"/>
              </w:rPr>
            </w:pPr>
            <w:r>
              <w:rPr>
                <w:szCs w:val="24"/>
              </w:rPr>
              <w:t>WKJC-79</w:t>
            </w:r>
          </w:p>
        </w:tc>
        <w:tc>
          <w:tcPr>
            <w:tcW w:w="3691" w:type="dxa"/>
            <w:tcBorders>
              <w:tl2br w:val="nil"/>
              <w:tr2bl w:val="nil"/>
            </w:tcBorders>
            <w:vAlign w:val="center"/>
          </w:tcPr>
          <w:p>
            <w:pPr>
              <w:jc w:val="center"/>
              <w:rPr>
                <w:szCs w:val="24"/>
              </w:rPr>
            </w:pPr>
            <w:r>
              <w:rPr>
                <w:szCs w:val="24"/>
              </w:rPr>
              <w:t>轻便三杯风向风速仪</w:t>
            </w:r>
          </w:p>
        </w:tc>
        <w:tc>
          <w:tcPr>
            <w:tcW w:w="2607" w:type="dxa"/>
            <w:tcBorders>
              <w:tl2br w:val="nil"/>
              <w:tr2bl w:val="nil"/>
            </w:tcBorders>
            <w:vAlign w:val="center"/>
          </w:tcPr>
          <w:p>
            <w:pPr>
              <w:jc w:val="center"/>
              <w:rPr>
                <w:szCs w:val="24"/>
              </w:rPr>
            </w:pPr>
            <w:r>
              <w:rPr>
                <w:szCs w:val="24"/>
              </w:rPr>
              <w:t>FYF-1</w:t>
            </w:r>
          </w:p>
        </w:tc>
      </w:tr>
    </w:tbl>
    <w:p>
      <w:pPr>
        <w:pStyle w:val="10"/>
        <w:spacing w:line="360" w:lineRule="auto"/>
        <w:contextualSpacing/>
      </w:pPr>
      <w:bookmarkStart w:id="80" w:name="_Toc11091"/>
      <w:r>
        <w:t>8.3气体监测分析过程中的质量保证和质量控制</w:t>
      </w:r>
      <w:bookmarkEnd w:id="80"/>
    </w:p>
    <w:p>
      <w:pPr>
        <w:spacing w:line="360" w:lineRule="auto"/>
        <w:ind w:firstLine="480" w:firstLineChars="200"/>
        <w:contextualSpacing/>
        <w:rPr>
          <w:sz w:val="24"/>
          <w:szCs w:val="24"/>
        </w:rPr>
      </w:pPr>
      <w:r>
        <w:rPr>
          <w:sz w:val="24"/>
          <w:szCs w:val="24"/>
        </w:rPr>
        <w:t>（1）废气监测质量保证按照《大气污染物无组织排放监测技术导则》（HJ/T 55-2000）、《大气污染物综合排放标准》（GB16297-1996）、《固定源废气监测技术规范》（HJ/T 397-2007）的要求与规定进行全过程质量控制。</w:t>
      </w:r>
    </w:p>
    <w:p>
      <w:pPr>
        <w:spacing w:line="360" w:lineRule="auto"/>
        <w:ind w:firstLine="480" w:firstLineChars="200"/>
        <w:contextualSpacing/>
        <w:rPr>
          <w:sz w:val="24"/>
          <w:szCs w:val="24"/>
        </w:rPr>
      </w:pPr>
      <w:r>
        <w:rPr>
          <w:sz w:val="24"/>
          <w:szCs w:val="24"/>
        </w:rPr>
        <w:t>（2）验收监测中及时了解工况情况，确保监测过程中工况负荷满足有关要求；合理布设监测点位，确保各监测点位布设的科学性和可比性；监测分析方法采用国家有关部门颁布的标准（或推荐）分析方法，监测人员经过考核并持有合格证书；监测数据严格实行复核审核制度。</w:t>
      </w:r>
    </w:p>
    <w:p>
      <w:pPr>
        <w:spacing w:line="360" w:lineRule="auto"/>
        <w:ind w:firstLine="480" w:firstLineChars="200"/>
        <w:contextualSpacing/>
        <w:rPr>
          <w:sz w:val="24"/>
          <w:szCs w:val="24"/>
        </w:rPr>
      </w:pPr>
      <w:r>
        <w:rPr>
          <w:sz w:val="24"/>
          <w:szCs w:val="24"/>
        </w:rPr>
        <w:t>（3）尽量避免被测排放物中共存污染物因子对仪器分析的交叉干扰；被测排放物的浓度在仪器测试量程的有效范围即仪器量程的30%～70%之间。</w:t>
      </w:r>
    </w:p>
    <w:p>
      <w:pPr>
        <w:spacing w:line="360" w:lineRule="auto"/>
        <w:ind w:firstLine="480" w:firstLineChars="200"/>
        <w:contextualSpacing/>
        <w:rPr>
          <w:sz w:val="24"/>
          <w:szCs w:val="24"/>
        </w:rPr>
      </w:pPr>
      <w:r>
        <w:rPr>
          <w:sz w:val="24"/>
          <w:szCs w:val="24"/>
        </w:rPr>
        <w:t>（4）采样仪器在进入现场前对采样器流量计、流速计等进行校核。烟气监测（分析）仪器在监测前按监测因子分别用标准气体和流量计对其进行标定，在监测时确保其采样流量。</w:t>
      </w:r>
    </w:p>
    <w:p>
      <w:pPr>
        <w:pStyle w:val="10"/>
        <w:spacing w:line="360" w:lineRule="auto"/>
        <w:contextualSpacing/>
      </w:pPr>
      <w:bookmarkStart w:id="81" w:name="_Toc31674"/>
      <w:r>
        <w:t>8.4  噪声监测分析过程中的质量保证和质量控制</w:t>
      </w:r>
      <w:bookmarkEnd w:id="81"/>
    </w:p>
    <w:p>
      <w:pPr>
        <w:spacing w:line="360" w:lineRule="auto"/>
        <w:ind w:firstLine="480" w:firstLineChars="200"/>
        <w:contextualSpacing/>
        <w:rPr>
          <w:sz w:val="24"/>
          <w:szCs w:val="24"/>
        </w:rPr>
      </w:pPr>
      <w:r>
        <w:rPr>
          <w:sz w:val="24"/>
          <w:szCs w:val="24"/>
        </w:rPr>
        <w:t>噪声监测质量保证按照《工业企业厂界环境噪声排放标准》（GB12348-2008）中有关规定进行：测量仪器和声校准器均在检定规定的有效期限内使用；测量前后在测量的环境中用声校准器校准测量仪器，示值偏差不大于 0.5dB(A)；测量时传声器加防风罩；记录影响测量结果的噪声源。噪声仪器校验见表8.5-1。</w:t>
      </w:r>
      <w:r>
        <w:rPr>
          <w:rFonts w:eastAsia="等线"/>
          <w:b/>
          <w:bCs/>
        </w:rPr>
        <w:t xml:space="preserve">   </w:t>
      </w:r>
      <w:r>
        <w:rPr>
          <w:b/>
          <w:bCs/>
          <w:sz w:val="24"/>
          <w:szCs w:val="24"/>
        </w:rPr>
        <w:t xml:space="preserve"> </w:t>
      </w:r>
    </w:p>
    <w:p>
      <w:pPr>
        <w:spacing w:line="360" w:lineRule="auto"/>
        <w:ind w:right="105" w:rightChars="50" w:firstLine="361" w:firstLineChars="150"/>
        <w:jc w:val="center"/>
        <w:rPr>
          <w:b/>
          <w:bCs/>
          <w:sz w:val="24"/>
          <w:szCs w:val="24"/>
        </w:rPr>
      </w:pPr>
      <w:r>
        <w:rPr>
          <w:b/>
          <w:bCs/>
          <w:sz w:val="24"/>
          <w:szCs w:val="24"/>
        </w:rPr>
        <w:t>表 8.5-1 噪声仪器校验表   单位：dB(A)</w:t>
      </w:r>
    </w:p>
    <w:tbl>
      <w:tblPr>
        <w:tblStyle w:val="39"/>
        <w:tblW w:w="8399"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1184"/>
        <w:gridCol w:w="1462"/>
        <w:gridCol w:w="1563"/>
        <w:gridCol w:w="1404"/>
        <w:gridCol w:w="138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03" w:type="dxa"/>
            <w:tcBorders>
              <w:tl2br w:val="nil"/>
              <w:tr2bl w:val="nil"/>
            </w:tcBorders>
            <w:vAlign w:val="center"/>
          </w:tcPr>
          <w:p>
            <w:pPr>
              <w:spacing w:line="360" w:lineRule="auto"/>
              <w:jc w:val="center"/>
              <w:rPr>
                <w:b/>
                <w:bCs/>
              </w:rPr>
            </w:pPr>
            <w:r>
              <w:rPr>
                <w:b/>
                <w:bCs/>
              </w:rPr>
              <w:t>仪器名称</w:t>
            </w:r>
          </w:p>
        </w:tc>
        <w:tc>
          <w:tcPr>
            <w:tcW w:w="1184" w:type="dxa"/>
            <w:tcBorders>
              <w:tl2br w:val="nil"/>
              <w:tr2bl w:val="nil"/>
            </w:tcBorders>
            <w:vAlign w:val="center"/>
          </w:tcPr>
          <w:p>
            <w:pPr>
              <w:spacing w:line="360" w:lineRule="auto"/>
              <w:jc w:val="center"/>
              <w:rPr>
                <w:b/>
                <w:bCs/>
              </w:rPr>
            </w:pPr>
            <w:r>
              <w:rPr>
                <w:b/>
                <w:bCs/>
              </w:rPr>
              <w:t>监测项目</w:t>
            </w:r>
          </w:p>
        </w:tc>
        <w:tc>
          <w:tcPr>
            <w:tcW w:w="1462" w:type="dxa"/>
            <w:tcBorders>
              <w:tl2br w:val="nil"/>
              <w:tr2bl w:val="nil"/>
            </w:tcBorders>
            <w:vAlign w:val="center"/>
          </w:tcPr>
          <w:p>
            <w:pPr>
              <w:spacing w:line="360" w:lineRule="auto"/>
              <w:jc w:val="center"/>
              <w:rPr>
                <w:b/>
                <w:bCs/>
              </w:rPr>
            </w:pPr>
            <w:r>
              <w:rPr>
                <w:b/>
                <w:bCs/>
              </w:rPr>
              <w:t>校验日期</w:t>
            </w:r>
          </w:p>
        </w:tc>
        <w:tc>
          <w:tcPr>
            <w:tcW w:w="1563" w:type="dxa"/>
            <w:tcBorders>
              <w:tl2br w:val="nil"/>
              <w:tr2bl w:val="nil"/>
            </w:tcBorders>
            <w:vAlign w:val="center"/>
          </w:tcPr>
          <w:p>
            <w:pPr>
              <w:jc w:val="center"/>
              <w:rPr>
                <w:b/>
                <w:bCs/>
              </w:rPr>
            </w:pPr>
            <w:r>
              <w:rPr>
                <w:b/>
                <w:bCs/>
              </w:rPr>
              <w:t>测量前校正</w:t>
            </w:r>
          </w:p>
        </w:tc>
        <w:tc>
          <w:tcPr>
            <w:tcW w:w="1404" w:type="dxa"/>
            <w:tcBorders>
              <w:tl2br w:val="nil"/>
              <w:tr2bl w:val="nil"/>
            </w:tcBorders>
            <w:vAlign w:val="center"/>
          </w:tcPr>
          <w:p>
            <w:pPr>
              <w:jc w:val="center"/>
              <w:rPr>
                <w:b/>
                <w:bCs/>
              </w:rPr>
            </w:pPr>
            <w:r>
              <w:rPr>
                <w:b/>
                <w:bCs/>
              </w:rPr>
              <w:t>测量后校正</w:t>
            </w:r>
          </w:p>
        </w:tc>
        <w:tc>
          <w:tcPr>
            <w:tcW w:w="1383" w:type="dxa"/>
            <w:tcBorders>
              <w:tl2br w:val="nil"/>
              <w:tr2bl w:val="nil"/>
            </w:tcBorders>
            <w:vAlign w:val="center"/>
          </w:tcPr>
          <w:p>
            <w:pPr>
              <w:jc w:val="center"/>
              <w:rPr>
                <w:b/>
                <w:bCs/>
              </w:rPr>
            </w:pPr>
            <w:r>
              <w:rPr>
                <w:b/>
                <w:bCs/>
              </w:rPr>
              <w:t>是否合格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03" w:type="dxa"/>
            <w:vMerge w:val="restart"/>
            <w:tcBorders>
              <w:tl2br w:val="nil"/>
              <w:tr2bl w:val="nil"/>
            </w:tcBorders>
            <w:vAlign w:val="center"/>
          </w:tcPr>
          <w:p>
            <w:pPr>
              <w:jc w:val="center"/>
            </w:pPr>
            <w:r>
              <w:t>AWA6221 型多功能声级计</w:t>
            </w:r>
          </w:p>
        </w:tc>
        <w:tc>
          <w:tcPr>
            <w:tcW w:w="1184" w:type="dxa"/>
            <w:vMerge w:val="restart"/>
            <w:tcBorders>
              <w:tl2br w:val="nil"/>
              <w:tr2bl w:val="nil"/>
            </w:tcBorders>
            <w:vAlign w:val="center"/>
          </w:tcPr>
          <w:p>
            <w:pPr>
              <w:spacing w:line="360" w:lineRule="auto"/>
              <w:jc w:val="center"/>
            </w:pPr>
            <w:r>
              <w:t>厂界噪声</w:t>
            </w:r>
          </w:p>
        </w:tc>
        <w:tc>
          <w:tcPr>
            <w:tcW w:w="1462" w:type="dxa"/>
            <w:tcBorders>
              <w:tl2br w:val="nil"/>
              <w:tr2bl w:val="nil"/>
            </w:tcBorders>
            <w:vAlign w:val="center"/>
          </w:tcPr>
          <w:p>
            <w:pPr>
              <w:spacing w:line="360" w:lineRule="auto"/>
              <w:jc w:val="center"/>
            </w:pPr>
            <w:r>
              <w:t>昼间</w:t>
            </w:r>
          </w:p>
        </w:tc>
        <w:tc>
          <w:tcPr>
            <w:tcW w:w="1563" w:type="dxa"/>
            <w:tcBorders>
              <w:tl2br w:val="nil"/>
              <w:tr2bl w:val="nil"/>
            </w:tcBorders>
            <w:vAlign w:val="center"/>
          </w:tcPr>
          <w:p>
            <w:pPr>
              <w:spacing w:line="360" w:lineRule="auto"/>
              <w:jc w:val="center"/>
            </w:pPr>
            <w:r>
              <w:rPr>
                <w:rFonts w:hint="eastAsia"/>
              </w:rPr>
              <w:t>94.1</w:t>
            </w:r>
          </w:p>
        </w:tc>
        <w:tc>
          <w:tcPr>
            <w:tcW w:w="1404" w:type="dxa"/>
            <w:tcBorders>
              <w:tl2br w:val="nil"/>
              <w:tr2bl w:val="nil"/>
            </w:tcBorders>
            <w:vAlign w:val="center"/>
          </w:tcPr>
          <w:p>
            <w:pPr>
              <w:spacing w:line="360" w:lineRule="auto"/>
              <w:jc w:val="center"/>
            </w:pPr>
            <w:r>
              <w:t>93.7</w:t>
            </w:r>
          </w:p>
        </w:tc>
        <w:tc>
          <w:tcPr>
            <w:tcW w:w="1383" w:type="dxa"/>
            <w:tcBorders>
              <w:tl2br w:val="nil"/>
              <w:tr2bl w:val="nil"/>
            </w:tcBorders>
            <w:vAlign w:val="center"/>
          </w:tcPr>
          <w:p>
            <w:pPr>
              <w:spacing w:line="360" w:lineRule="auto"/>
              <w:jc w:val="center"/>
            </w:pPr>
            <w:r>
              <w:t>合格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03" w:type="dxa"/>
            <w:vMerge w:val="continue"/>
            <w:tcBorders>
              <w:tl2br w:val="nil"/>
              <w:tr2bl w:val="nil"/>
            </w:tcBorders>
            <w:vAlign w:val="center"/>
          </w:tcPr>
          <w:p>
            <w:pPr>
              <w:jc w:val="center"/>
            </w:pPr>
          </w:p>
        </w:tc>
        <w:tc>
          <w:tcPr>
            <w:tcW w:w="1184" w:type="dxa"/>
            <w:vMerge w:val="continue"/>
            <w:tcBorders>
              <w:tl2br w:val="nil"/>
              <w:tr2bl w:val="nil"/>
            </w:tcBorders>
            <w:vAlign w:val="center"/>
          </w:tcPr>
          <w:p>
            <w:pPr>
              <w:spacing w:line="360" w:lineRule="auto"/>
              <w:jc w:val="center"/>
            </w:pPr>
          </w:p>
        </w:tc>
        <w:tc>
          <w:tcPr>
            <w:tcW w:w="1462" w:type="dxa"/>
            <w:tcBorders>
              <w:tl2br w:val="nil"/>
              <w:tr2bl w:val="nil"/>
            </w:tcBorders>
            <w:vAlign w:val="center"/>
          </w:tcPr>
          <w:p>
            <w:pPr>
              <w:spacing w:line="360" w:lineRule="auto"/>
              <w:jc w:val="center"/>
            </w:pPr>
            <w:r>
              <w:t>夜间</w:t>
            </w:r>
          </w:p>
        </w:tc>
        <w:tc>
          <w:tcPr>
            <w:tcW w:w="1563" w:type="dxa"/>
            <w:tcBorders>
              <w:tl2br w:val="nil"/>
              <w:tr2bl w:val="nil"/>
            </w:tcBorders>
            <w:vAlign w:val="center"/>
          </w:tcPr>
          <w:p>
            <w:pPr>
              <w:spacing w:line="360" w:lineRule="auto"/>
              <w:jc w:val="center"/>
            </w:pPr>
            <w:r>
              <w:t>93.8</w:t>
            </w:r>
          </w:p>
        </w:tc>
        <w:tc>
          <w:tcPr>
            <w:tcW w:w="1404" w:type="dxa"/>
            <w:tcBorders>
              <w:tl2br w:val="nil"/>
              <w:tr2bl w:val="nil"/>
            </w:tcBorders>
            <w:vAlign w:val="center"/>
          </w:tcPr>
          <w:p>
            <w:pPr>
              <w:spacing w:line="360" w:lineRule="auto"/>
              <w:jc w:val="center"/>
            </w:pPr>
            <w:r>
              <w:t>93.8</w:t>
            </w:r>
          </w:p>
        </w:tc>
        <w:tc>
          <w:tcPr>
            <w:tcW w:w="1383" w:type="dxa"/>
            <w:tcBorders>
              <w:tl2br w:val="nil"/>
              <w:tr2bl w:val="nil"/>
            </w:tcBorders>
            <w:vAlign w:val="center"/>
          </w:tcPr>
          <w:p>
            <w:pPr>
              <w:spacing w:line="360" w:lineRule="auto"/>
              <w:jc w:val="center"/>
            </w:pPr>
            <w:r>
              <w:t>合格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03" w:type="dxa"/>
            <w:vMerge w:val="continue"/>
            <w:tcBorders>
              <w:tl2br w:val="nil"/>
              <w:tr2bl w:val="nil"/>
            </w:tcBorders>
            <w:vAlign w:val="center"/>
          </w:tcPr>
          <w:p>
            <w:pPr>
              <w:jc w:val="center"/>
            </w:pPr>
          </w:p>
        </w:tc>
        <w:tc>
          <w:tcPr>
            <w:tcW w:w="1184" w:type="dxa"/>
            <w:vMerge w:val="continue"/>
            <w:tcBorders>
              <w:tl2br w:val="nil"/>
              <w:tr2bl w:val="nil"/>
            </w:tcBorders>
            <w:vAlign w:val="center"/>
          </w:tcPr>
          <w:p>
            <w:pPr>
              <w:spacing w:line="360" w:lineRule="auto"/>
              <w:jc w:val="center"/>
            </w:pPr>
          </w:p>
        </w:tc>
        <w:tc>
          <w:tcPr>
            <w:tcW w:w="1462" w:type="dxa"/>
            <w:tcBorders>
              <w:tl2br w:val="nil"/>
              <w:tr2bl w:val="nil"/>
            </w:tcBorders>
            <w:vAlign w:val="center"/>
          </w:tcPr>
          <w:p>
            <w:pPr>
              <w:spacing w:line="360" w:lineRule="auto"/>
              <w:jc w:val="center"/>
            </w:pPr>
            <w:r>
              <w:t>昼间</w:t>
            </w:r>
          </w:p>
        </w:tc>
        <w:tc>
          <w:tcPr>
            <w:tcW w:w="1563" w:type="dxa"/>
            <w:tcBorders>
              <w:tl2br w:val="nil"/>
              <w:tr2bl w:val="nil"/>
            </w:tcBorders>
            <w:vAlign w:val="center"/>
          </w:tcPr>
          <w:p>
            <w:pPr>
              <w:spacing w:line="360" w:lineRule="auto"/>
              <w:jc w:val="center"/>
              <w:rPr>
                <w:highlight w:val="yellow"/>
              </w:rPr>
            </w:pPr>
            <w:r>
              <w:t>93.</w:t>
            </w:r>
            <w:r>
              <w:rPr>
                <w:rFonts w:hint="eastAsia"/>
              </w:rPr>
              <w:t>6</w:t>
            </w:r>
          </w:p>
        </w:tc>
        <w:tc>
          <w:tcPr>
            <w:tcW w:w="1404" w:type="dxa"/>
            <w:tcBorders>
              <w:tl2br w:val="nil"/>
              <w:tr2bl w:val="nil"/>
            </w:tcBorders>
            <w:vAlign w:val="center"/>
          </w:tcPr>
          <w:p>
            <w:pPr>
              <w:spacing w:line="360" w:lineRule="auto"/>
              <w:jc w:val="center"/>
              <w:rPr>
                <w:highlight w:val="yellow"/>
              </w:rPr>
            </w:pPr>
            <w:r>
              <w:t>93.</w:t>
            </w:r>
            <w:r>
              <w:rPr>
                <w:rFonts w:hint="eastAsia"/>
              </w:rPr>
              <w:t>6</w:t>
            </w:r>
          </w:p>
        </w:tc>
        <w:tc>
          <w:tcPr>
            <w:tcW w:w="1383" w:type="dxa"/>
            <w:tcBorders>
              <w:tl2br w:val="nil"/>
              <w:tr2bl w:val="nil"/>
            </w:tcBorders>
            <w:vAlign w:val="center"/>
          </w:tcPr>
          <w:p>
            <w:pPr>
              <w:spacing w:line="360" w:lineRule="auto"/>
              <w:jc w:val="center"/>
            </w:pPr>
            <w:r>
              <w:t>合格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03" w:type="dxa"/>
            <w:vMerge w:val="continue"/>
            <w:tcBorders>
              <w:tl2br w:val="nil"/>
              <w:tr2bl w:val="nil"/>
            </w:tcBorders>
            <w:vAlign w:val="center"/>
          </w:tcPr>
          <w:p>
            <w:pPr>
              <w:jc w:val="center"/>
            </w:pPr>
          </w:p>
        </w:tc>
        <w:tc>
          <w:tcPr>
            <w:tcW w:w="1184" w:type="dxa"/>
            <w:vMerge w:val="continue"/>
            <w:tcBorders>
              <w:tl2br w:val="nil"/>
              <w:tr2bl w:val="nil"/>
            </w:tcBorders>
            <w:vAlign w:val="center"/>
          </w:tcPr>
          <w:p>
            <w:pPr>
              <w:spacing w:line="360" w:lineRule="auto"/>
              <w:jc w:val="center"/>
            </w:pPr>
          </w:p>
        </w:tc>
        <w:tc>
          <w:tcPr>
            <w:tcW w:w="1462" w:type="dxa"/>
            <w:tcBorders>
              <w:tl2br w:val="nil"/>
              <w:tr2bl w:val="nil"/>
            </w:tcBorders>
            <w:vAlign w:val="center"/>
          </w:tcPr>
          <w:p>
            <w:pPr>
              <w:spacing w:line="360" w:lineRule="auto"/>
              <w:jc w:val="center"/>
            </w:pPr>
            <w:r>
              <w:t>夜间</w:t>
            </w:r>
          </w:p>
        </w:tc>
        <w:tc>
          <w:tcPr>
            <w:tcW w:w="1563" w:type="dxa"/>
            <w:tcBorders>
              <w:tl2br w:val="nil"/>
              <w:tr2bl w:val="nil"/>
            </w:tcBorders>
            <w:vAlign w:val="center"/>
          </w:tcPr>
          <w:p>
            <w:pPr>
              <w:spacing w:line="360" w:lineRule="auto"/>
              <w:jc w:val="center"/>
            </w:pPr>
            <w:r>
              <w:t>93.</w:t>
            </w:r>
            <w:r>
              <w:rPr>
                <w:rFonts w:hint="eastAsia"/>
              </w:rPr>
              <w:t>7</w:t>
            </w:r>
          </w:p>
        </w:tc>
        <w:tc>
          <w:tcPr>
            <w:tcW w:w="1404" w:type="dxa"/>
            <w:tcBorders>
              <w:tl2br w:val="nil"/>
              <w:tr2bl w:val="nil"/>
            </w:tcBorders>
            <w:vAlign w:val="center"/>
          </w:tcPr>
          <w:p>
            <w:pPr>
              <w:spacing w:line="360" w:lineRule="auto"/>
              <w:jc w:val="center"/>
            </w:pPr>
            <w:r>
              <w:t>93.</w:t>
            </w:r>
            <w:r>
              <w:rPr>
                <w:rFonts w:hint="eastAsia"/>
              </w:rPr>
              <w:t>7</w:t>
            </w:r>
          </w:p>
        </w:tc>
        <w:tc>
          <w:tcPr>
            <w:tcW w:w="1383" w:type="dxa"/>
            <w:tcBorders>
              <w:tl2br w:val="nil"/>
              <w:tr2bl w:val="nil"/>
            </w:tcBorders>
            <w:vAlign w:val="center"/>
          </w:tcPr>
          <w:p>
            <w:pPr>
              <w:spacing w:line="360" w:lineRule="auto"/>
              <w:jc w:val="center"/>
            </w:pPr>
            <w:r>
              <w:t>合格</w:t>
            </w:r>
          </w:p>
        </w:tc>
      </w:tr>
    </w:tbl>
    <w:p>
      <w:pPr>
        <w:pStyle w:val="10"/>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10"/>
        <w:sectPr>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9"/>
        <w:spacing w:line="360" w:lineRule="auto"/>
      </w:pPr>
      <w:bookmarkStart w:id="82" w:name="_Toc8623"/>
      <w:r>
        <w:t>第九章 验收监测结果</w:t>
      </w:r>
      <w:bookmarkEnd w:id="82"/>
    </w:p>
    <w:p>
      <w:pPr>
        <w:pStyle w:val="10"/>
        <w:spacing w:line="360" w:lineRule="auto"/>
        <w:contextualSpacing/>
      </w:pPr>
      <w:bookmarkStart w:id="83" w:name="_Toc22725"/>
      <w:r>
        <w:t>9.1运营工况</w:t>
      </w:r>
      <w:bookmarkEnd w:id="83"/>
    </w:p>
    <w:p>
      <w:pPr>
        <w:spacing w:line="360" w:lineRule="auto"/>
        <w:ind w:firstLine="480" w:firstLineChars="200"/>
        <w:contextualSpacing/>
        <w:rPr>
          <w:sz w:val="24"/>
          <w:szCs w:val="24"/>
        </w:rPr>
      </w:pPr>
      <w:r>
        <w:rPr>
          <w:sz w:val="24"/>
          <w:szCs w:val="24"/>
        </w:rPr>
        <w:t>根据企业要求和运营特点，</w:t>
      </w:r>
      <w:r>
        <w:rPr>
          <w:rFonts w:hint="eastAsia"/>
          <w:sz w:val="24"/>
          <w:szCs w:val="24"/>
        </w:rPr>
        <w:t>采用三班制，每天工作24小时，年工作330天</w:t>
      </w:r>
      <w:r>
        <w:rPr>
          <w:sz w:val="24"/>
          <w:szCs w:val="24"/>
        </w:rPr>
        <w:t>。监测期间生产负荷见表9</w:t>
      </w:r>
      <w:r>
        <w:rPr>
          <w:rFonts w:hint="eastAsia"/>
          <w:sz w:val="24"/>
          <w:szCs w:val="24"/>
        </w:rPr>
        <w:t>.1</w:t>
      </w:r>
      <w:r>
        <w:rPr>
          <w:sz w:val="24"/>
          <w:szCs w:val="24"/>
        </w:rPr>
        <w:t>-1。</w:t>
      </w:r>
    </w:p>
    <w:p>
      <w:pPr>
        <w:jc w:val="center"/>
        <w:rPr>
          <w:b/>
          <w:bCs/>
        </w:rPr>
      </w:pPr>
      <w:r>
        <w:rPr>
          <w:b/>
          <w:bCs/>
        </w:rPr>
        <w:t>表9</w:t>
      </w:r>
      <w:r>
        <w:rPr>
          <w:rFonts w:hint="eastAsia"/>
          <w:b/>
          <w:bCs/>
        </w:rPr>
        <w:t>.1</w:t>
      </w:r>
      <w:r>
        <w:rPr>
          <w:b/>
          <w:bCs/>
        </w:rPr>
        <w:t>-1监测期间生产负荷</w:t>
      </w:r>
    </w:p>
    <w:tbl>
      <w:tblPr>
        <w:tblStyle w:val="39"/>
        <w:tblW w:w="845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62"/>
        <w:gridCol w:w="1807"/>
        <w:gridCol w:w="1878"/>
        <w:gridCol w:w="1571"/>
        <w:gridCol w:w="174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62" w:type="dxa"/>
            <w:tcBorders>
              <w:tl2br w:val="nil"/>
              <w:tr2bl w:val="nil"/>
            </w:tcBorders>
            <w:vAlign w:val="center"/>
          </w:tcPr>
          <w:p>
            <w:pPr>
              <w:spacing w:line="360" w:lineRule="auto"/>
              <w:contextualSpacing/>
              <w:jc w:val="center"/>
              <w:rPr>
                <w:b/>
                <w:bCs/>
              </w:rPr>
            </w:pPr>
            <w:r>
              <w:rPr>
                <w:b/>
                <w:bCs/>
              </w:rPr>
              <w:t>日期</w:t>
            </w:r>
          </w:p>
        </w:tc>
        <w:tc>
          <w:tcPr>
            <w:tcW w:w="1807" w:type="dxa"/>
            <w:tcBorders>
              <w:tl2br w:val="nil"/>
              <w:tr2bl w:val="nil"/>
            </w:tcBorders>
            <w:vAlign w:val="center"/>
          </w:tcPr>
          <w:p>
            <w:pPr>
              <w:spacing w:line="360" w:lineRule="auto"/>
              <w:contextualSpacing/>
              <w:jc w:val="center"/>
              <w:rPr>
                <w:b/>
                <w:bCs/>
              </w:rPr>
            </w:pPr>
            <w:r>
              <w:rPr>
                <w:b/>
                <w:bCs/>
              </w:rPr>
              <w:t>产品名称</w:t>
            </w:r>
          </w:p>
        </w:tc>
        <w:tc>
          <w:tcPr>
            <w:tcW w:w="1878" w:type="dxa"/>
            <w:tcBorders>
              <w:tl2br w:val="nil"/>
              <w:tr2bl w:val="nil"/>
            </w:tcBorders>
            <w:vAlign w:val="center"/>
          </w:tcPr>
          <w:p>
            <w:pPr>
              <w:spacing w:line="360" w:lineRule="auto"/>
              <w:contextualSpacing/>
              <w:jc w:val="center"/>
              <w:rPr>
                <w:b/>
                <w:bCs/>
              </w:rPr>
            </w:pPr>
            <w:r>
              <w:rPr>
                <w:b/>
                <w:bCs/>
              </w:rPr>
              <w:t>额定日产量</w:t>
            </w:r>
          </w:p>
        </w:tc>
        <w:tc>
          <w:tcPr>
            <w:tcW w:w="1571" w:type="dxa"/>
            <w:tcBorders>
              <w:tl2br w:val="nil"/>
              <w:tr2bl w:val="nil"/>
            </w:tcBorders>
            <w:vAlign w:val="center"/>
          </w:tcPr>
          <w:p>
            <w:pPr>
              <w:spacing w:line="360" w:lineRule="auto"/>
              <w:contextualSpacing/>
              <w:jc w:val="center"/>
              <w:rPr>
                <w:rFonts w:hint="eastAsia" w:eastAsia="宋体"/>
                <w:b/>
                <w:bCs/>
                <w:lang w:eastAsia="zh-CN"/>
              </w:rPr>
            </w:pPr>
            <w:r>
              <w:rPr>
                <w:b/>
                <w:bCs/>
              </w:rPr>
              <w:t>实际日产量</w:t>
            </w:r>
            <w:r>
              <w:rPr>
                <w:rFonts w:hint="eastAsia"/>
                <w:b/>
                <w:bCs/>
                <w:lang w:eastAsia="zh-CN"/>
              </w:rPr>
              <w:t>（</w:t>
            </w:r>
            <w:r>
              <w:rPr>
                <w:rFonts w:hint="eastAsia"/>
                <w:b/>
                <w:bCs/>
                <w:lang w:val="en-US" w:eastAsia="zh-CN"/>
              </w:rPr>
              <w:t>t</w:t>
            </w:r>
            <w:r>
              <w:rPr>
                <w:rFonts w:hint="eastAsia"/>
                <w:b/>
                <w:bCs/>
                <w:lang w:eastAsia="zh-CN"/>
              </w:rPr>
              <w:t>）</w:t>
            </w:r>
          </w:p>
        </w:tc>
        <w:tc>
          <w:tcPr>
            <w:tcW w:w="1740" w:type="dxa"/>
            <w:tcBorders>
              <w:tl2br w:val="nil"/>
              <w:tr2bl w:val="nil"/>
            </w:tcBorders>
            <w:vAlign w:val="center"/>
          </w:tcPr>
          <w:p>
            <w:pPr>
              <w:spacing w:line="360" w:lineRule="auto"/>
              <w:contextualSpacing/>
              <w:jc w:val="center"/>
              <w:rPr>
                <w:b/>
                <w:bCs/>
              </w:rPr>
            </w:pPr>
            <w:r>
              <w:rPr>
                <w:b/>
                <w:bCs/>
              </w:rPr>
              <w:t>生产负荷（%）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62" w:type="dxa"/>
            <w:vMerge w:val="restart"/>
            <w:tcBorders>
              <w:tl2br w:val="nil"/>
              <w:tr2bl w:val="nil"/>
            </w:tcBorders>
            <w:vAlign w:val="center"/>
          </w:tcPr>
          <w:p>
            <w:pPr>
              <w:spacing w:line="360" w:lineRule="auto"/>
              <w:contextualSpacing/>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2024.6.13</w:t>
            </w:r>
          </w:p>
        </w:tc>
        <w:tc>
          <w:tcPr>
            <w:tcW w:w="1807" w:type="dxa"/>
            <w:tcBorders>
              <w:tl2br w:val="nil"/>
              <w:tr2bl w:val="nil"/>
            </w:tcBorders>
            <w:vAlign w:val="center"/>
          </w:tcPr>
          <w:p>
            <w:pPr>
              <w:spacing w:line="360" w:lineRule="auto"/>
              <w:contextualSpacing/>
              <w:jc w:val="center"/>
            </w:pPr>
            <w:r>
              <w:rPr>
                <w:rFonts w:hint="eastAsia"/>
              </w:rPr>
              <w:t>氯化石蜡</w:t>
            </w:r>
          </w:p>
        </w:tc>
        <w:tc>
          <w:tcPr>
            <w:tcW w:w="1878" w:type="dxa"/>
            <w:tcBorders>
              <w:tl2br w:val="nil"/>
              <w:tr2bl w:val="nil"/>
            </w:tcBorders>
            <w:vAlign w:val="center"/>
          </w:tcPr>
          <w:p>
            <w:pPr>
              <w:spacing w:line="360" w:lineRule="auto"/>
              <w:contextualSpacing/>
              <w:jc w:val="center"/>
            </w:pPr>
            <w:r>
              <w:rPr>
                <w:rFonts w:hint="eastAsia"/>
              </w:rPr>
              <w:t>0.0303万吨</w:t>
            </w:r>
          </w:p>
        </w:tc>
        <w:tc>
          <w:tcPr>
            <w:tcW w:w="1571" w:type="dxa"/>
            <w:tcBorders>
              <w:tl2br w:val="nil"/>
              <w:tr2bl w:val="nil"/>
            </w:tcBorders>
            <w:vAlign w:val="center"/>
          </w:tcPr>
          <w:p>
            <w:pPr>
              <w:spacing w:line="360" w:lineRule="auto"/>
              <w:contextualSpacing/>
              <w:jc w:val="center"/>
            </w:pPr>
            <w:r>
              <w:rPr>
                <w:rFonts w:hint="eastAsia"/>
              </w:rPr>
              <w:t>299.63</w:t>
            </w:r>
          </w:p>
        </w:tc>
        <w:tc>
          <w:tcPr>
            <w:tcW w:w="1740" w:type="dxa"/>
            <w:tcBorders>
              <w:tl2br w:val="nil"/>
              <w:tr2bl w:val="nil"/>
            </w:tcBorders>
            <w:vAlign w:val="center"/>
          </w:tcPr>
          <w:p>
            <w:pPr>
              <w:spacing w:line="360" w:lineRule="auto"/>
              <w:contextualSpacing/>
              <w:jc w:val="center"/>
            </w:pPr>
            <w:r>
              <w:rPr>
                <w:rFonts w:hint="eastAsia"/>
              </w:rPr>
              <w:t>98.89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62" w:type="dxa"/>
            <w:vMerge w:val="continue"/>
            <w:tcBorders>
              <w:tl2br w:val="nil"/>
              <w:tr2bl w:val="nil"/>
            </w:tcBorders>
            <w:vAlign w:val="center"/>
          </w:tcPr>
          <w:p>
            <w:pPr>
              <w:spacing w:line="360" w:lineRule="auto"/>
              <w:contextualSpacing/>
              <w:jc w:val="center"/>
              <w:rPr>
                <w:color w:val="000000" w:themeColor="text1"/>
                <w14:textFill>
                  <w14:solidFill>
                    <w14:schemeClr w14:val="tx1"/>
                  </w14:solidFill>
                </w14:textFill>
              </w:rPr>
            </w:pPr>
          </w:p>
        </w:tc>
        <w:tc>
          <w:tcPr>
            <w:tcW w:w="1807" w:type="dxa"/>
            <w:tcBorders>
              <w:tl2br w:val="nil"/>
              <w:tr2bl w:val="nil"/>
            </w:tcBorders>
            <w:vAlign w:val="center"/>
          </w:tcPr>
          <w:p>
            <w:pPr>
              <w:spacing w:line="360" w:lineRule="auto"/>
              <w:contextualSpacing/>
              <w:jc w:val="center"/>
            </w:pPr>
            <w:r>
              <w:rPr>
                <w:rFonts w:hint="eastAsia"/>
              </w:rPr>
              <w:t>31%盐酸</w:t>
            </w:r>
          </w:p>
        </w:tc>
        <w:tc>
          <w:tcPr>
            <w:tcW w:w="1878" w:type="dxa"/>
            <w:tcBorders>
              <w:tl2br w:val="nil"/>
              <w:tr2bl w:val="nil"/>
            </w:tcBorders>
            <w:vAlign w:val="center"/>
          </w:tcPr>
          <w:p>
            <w:pPr>
              <w:spacing w:line="360" w:lineRule="auto"/>
              <w:contextualSpacing/>
              <w:jc w:val="center"/>
            </w:pPr>
            <w:r>
              <w:rPr>
                <w:rFonts w:hint="eastAsia"/>
              </w:rPr>
              <w:t>0.0515万吨</w:t>
            </w:r>
          </w:p>
        </w:tc>
        <w:tc>
          <w:tcPr>
            <w:tcW w:w="1571" w:type="dxa"/>
            <w:tcBorders>
              <w:tl2br w:val="nil"/>
              <w:tr2bl w:val="nil"/>
            </w:tcBorders>
            <w:vAlign w:val="center"/>
          </w:tcPr>
          <w:p>
            <w:pPr>
              <w:spacing w:line="360" w:lineRule="auto"/>
              <w:contextualSpacing/>
              <w:jc w:val="center"/>
            </w:pPr>
            <w:r>
              <w:rPr>
                <w:rFonts w:hint="eastAsia"/>
              </w:rPr>
              <w:t>514.01</w:t>
            </w:r>
          </w:p>
        </w:tc>
        <w:tc>
          <w:tcPr>
            <w:tcW w:w="1740" w:type="dxa"/>
            <w:tcBorders>
              <w:tl2br w:val="nil"/>
              <w:tr2bl w:val="nil"/>
            </w:tcBorders>
            <w:vAlign w:val="center"/>
          </w:tcPr>
          <w:p>
            <w:pPr>
              <w:spacing w:line="360" w:lineRule="auto"/>
              <w:contextualSpacing/>
              <w:jc w:val="center"/>
            </w:pPr>
            <w:r>
              <w:rPr>
                <w:rFonts w:hint="eastAsia"/>
              </w:rPr>
              <w:t>99.81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62" w:type="dxa"/>
            <w:vMerge w:val="continue"/>
            <w:tcBorders>
              <w:tl2br w:val="nil"/>
              <w:tr2bl w:val="nil"/>
            </w:tcBorders>
            <w:vAlign w:val="center"/>
          </w:tcPr>
          <w:p>
            <w:pPr>
              <w:spacing w:line="360" w:lineRule="auto"/>
              <w:contextualSpacing/>
              <w:jc w:val="center"/>
              <w:rPr>
                <w:color w:val="000000" w:themeColor="text1"/>
                <w14:textFill>
                  <w14:solidFill>
                    <w14:schemeClr w14:val="tx1"/>
                  </w14:solidFill>
                </w14:textFill>
              </w:rPr>
            </w:pPr>
          </w:p>
        </w:tc>
        <w:tc>
          <w:tcPr>
            <w:tcW w:w="1807" w:type="dxa"/>
            <w:tcBorders>
              <w:tl2br w:val="nil"/>
              <w:tr2bl w:val="nil"/>
            </w:tcBorders>
            <w:vAlign w:val="center"/>
          </w:tcPr>
          <w:p>
            <w:pPr>
              <w:spacing w:line="360" w:lineRule="auto"/>
              <w:contextualSpacing/>
              <w:jc w:val="center"/>
            </w:pPr>
            <w:r>
              <w:rPr>
                <w:rFonts w:hint="eastAsia"/>
              </w:rPr>
              <w:t>10%次氯酸钠</w:t>
            </w:r>
          </w:p>
        </w:tc>
        <w:tc>
          <w:tcPr>
            <w:tcW w:w="1878" w:type="dxa"/>
            <w:tcBorders>
              <w:tl2br w:val="nil"/>
              <w:tr2bl w:val="nil"/>
            </w:tcBorders>
            <w:vAlign w:val="center"/>
          </w:tcPr>
          <w:p>
            <w:pPr>
              <w:spacing w:line="360" w:lineRule="auto"/>
              <w:contextualSpacing/>
              <w:jc w:val="center"/>
            </w:pPr>
            <w:r>
              <w:rPr>
                <w:rFonts w:hint="eastAsia"/>
              </w:rPr>
              <w:t>8.485吨</w:t>
            </w:r>
          </w:p>
        </w:tc>
        <w:tc>
          <w:tcPr>
            <w:tcW w:w="1571" w:type="dxa"/>
            <w:tcBorders>
              <w:tl2br w:val="nil"/>
              <w:tr2bl w:val="nil"/>
            </w:tcBorders>
            <w:vAlign w:val="center"/>
          </w:tcPr>
          <w:p>
            <w:pPr>
              <w:spacing w:line="360" w:lineRule="auto"/>
              <w:contextualSpacing/>
              <w:jc w:val="center"/>
            </w:pPr>
            <w:r>
              <w:rPr>
                <w:rFonts w:hint="eastAsia"/>
                <w:lang w:val="en-US" w:eastAsia="zh-CN"/>
              </w:rPr>
              <w:t>8</w:t>
            </w:r>
            <w:r>
              <w:rPr>
                <w:rFonts w:hint="eastAsia"/>
              </w:rPr>
              <w:t>.35</w:t>
            </w:r>
          </w:p>
        </w:tc>
        <w:tc>
          <w:tcPr>
            <w:tcW w:w="1740" w:type="dxa"/>
            <w:tcBorders>
              <w:tl2br w:val="nil"/>
              <w:tr2bl w:val="nil"/>
            </w:tcBorders>
            <w:vAlign w:val="center"/>
          </w:tcPr>
          <w:p>
            <w:pPr>
              <w:spacing w:line="360" w:lineRule="auto"/>
              <w:contextualSpacing/>
              <w:jc w:val="center"/>
              <w:rPr>
                <w:rFonts w:hint="default" w:eastAsia="宋体"/>
                <w:lang w:val="en-US" w:eastAsia="zh-CN"/>
              </w:rPr>
            </w:pPr>
            <w:r>
              <w:rPr>
                <w:rFonts w:hint="eastAsia"/>
                <w:lang w:val="en-US" w:eastAsia="zh-CN"/>
              </w:rPr>
              <w:t>98.41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62" w:type="dxa"/>
            <w:vMerge w:val="restart"/>
            <w:tcBorders>
              <w:tl2br w:val="nil"/>
              <w:tr2bl w:val="nil"/>
            </w:tcBorders>
            <w:vAlign w:val="center"/>
          </w:tcPr>
          <w:p>
            <w:pPr>
              <w:spacing w:line="360" w:lineRule="auto"/>
              <w:contextualSpacing/>
              <w:jc w:val="center"/>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2024.6.1</w:t>
            </w:r>
            <w:r>
              <w:rPr>
                <w:rFonts w:hint="eastAsia"/>
                <w:color w:val="000000" w:themeColor="text1"/>
                <w:lang w:val="en-US" w:eastAsia="zh-CN"/>
                <w14:textFill>
                  <w14:solidFill>
                    <w14:schemeClr w14:val="tx1"/>
                  </w14:solidFill>
                </w14:textFill>
              </w:rPr>
              <w:t>5</w:t>
            </w:r>
          </w:p>
        </w:tc>
        <w:tc>
          <w:tcPr>
            <w:tcW w:w="1807" w:type="dxa"/>
            <w:tcBorders>
              <w:tl2br w:val="nil"/>
              <w:tr2bl w:val="nil"/>
            </w:tcBorders>
            <w:vAlign w:val="center"/>
          </w:tcPr>
          <w:p>
            <w:pPr>
              <w:spacing w:line="360" w:lineRule="auto"/>
              <w:contextualSpacing/>
              <w:jc w:val="center"/>
            </w:pPr>
            <w:r>
              <w:rPr>
                <w:rFonts w:hint="eastAsia"/>
              </w:rPr>
              <w:t>氯化石蜡</w:t>
            </w:r>
          </w:p>
        </w:tc>
        <w:tc>
          <w:tcPr>
            <w:tcW w:w="1878" w:type="dxa"/>
            <w:tcBorders>
              <w:tl2br w:val="nil"/>
              <w:tr2bl w:val="nil"/>
            </w:tcBorders>
            <w:vAlign w:val="center"/>
          </w:tcPr>
          <w:p>
            <w:pPr>
              <w:spacing w:line="360" w:lineRule="auto"/>
              <w:contextualSpacing/>
              <w:jc w:val="center"/>
            </w:pPr>
            <w:r>
              <w:rPr>
                <w:rFonts w:hint="eastAsia"/>
              </w:rPr>
              <w:t>0.0303万吨</w:t>
            </w:r>
          </w:p>
        </w:tc>
        <w:tc>
          <w:tcPr>
            <w:tcW w:w="1571" w:type="dxa"/>
            <w:tcBorders>
              <w:tl2br w:val="nil"/>
              <w:tr2bl w:val="nil"/>
            </w:tcBorders>
            <w:vAlign w:val="center"/>
          </w:tcPr>
          <w:p>
            <w:pPr>
              <w:spacing w:line="360" w:lineRule="auto"/>
              <w:contextualSpacing/>
              <w:jc w:val="center"/>
            </w:pPr>
            <w:r>
              <w:rPr>
                <w:rFonts w:hint="eastAsia"/>
              </w:rPr>
              <w:t>282.88</w:t>
            </w:r>
          </w:p>
        </w:tc>
        <w:tc>
          <w:tcPr>
            <w:tcW w:w="1740" w:type="dxa"/>
            <w:tcBorders>
              <w:tl2br w:val="nil"/>
              <w:tr2bl w:val="nil"/>
            </w:tcBorders>
            <w:vAlign w:val="center"/>
          </w:tcPr>
          <w:p>
            <w:pPr>
              <w:spacing w:line="360" w:lineRule="auto"/>
              <w:contextualSpacing/>
              <w:jc w:val="center"/>
            </w:pPr>
            <w:r>
              <w:rPr>
                <w:rFonts w:hint="eastAsia"/>
              </w:rPr>
              <w:t>93.36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462" w:type="dxa"/>
            <w:vMerge w:val="continue"/>
            <w:tcBorders>
              <w:tl2br w:val="nil"/>
              <w:tr2bl w:val="nil"/>
            </w:tcBorders>
            <w:vAlign w:val="center"/>
          </w:tcPr>
          <w:p>
            <w:pPr>
              <w:spacing w:line="360" w:lineRule="auto"/>
              <w:contextualSpacing/>
              <w:jc w:val="center"/>
            </w:pPr>
          </w:p>
        </w:tc>
        <w:tc>
          <w:tcPr>
            <w:tcW w:w="1807" w:type="dxa"/>
            <w:tcBorders>
              <w:tl2br w:val="nil"/>
              <w:tr2bl w:val="nil"/>
            </w:tcBorders>
            <w:vAlign w:val="center"/>
          </w:tcPr>
          <w:p>
            <w:pPr>
              <w:spacing w:line="360" w:lineRule="auto"/>
              <w:contextualSpacing/>
              <w:jc w:val="center"/>
            </w:pPr>
            <w:r>
              <w:rPr>
                <w:rFonts w:hint="eastAsia"/>
              </w:rPr>
              <w:t>31%盐酸</w:t>
            </w:r>
          </w:p>
        </w:tc>
        <w:tc>
          <w:tcPr>
            <w:tcW w:w="1878" w:type="dxa"/>
            <w:tcBorders>
              <w:tl2br w:val="nil"/>
              <w:tr2bl w:val="nil"/>
            </w:tcBorders>
            <w:vAlign w:val="center"/>
          </w:tcPr>
          <w:p>
            <w:pPr>
              <w:spacing w:line="360" w:lineRule="auto"/>
              <w:contextualSpacing/>
              <w:jc w:val="center"/>
            </w:pPr>
            <w:r>
              <w:rPr>
                <w:rFonts w:hint="eastAsia"/>
              </w:rPr>
              <w:t>0.0515万吨</w:t>
            </w:r>
          </w:p>
        </w:tc>
        <w:tc>
          <w:tcPr>
            <w:tcW w:w="1571" w:type="dxa"/>
            <w:tcBorders>
              <w:tl2br w:val="nil"/>
              <w:tr2bl w:val="nil"/>
            </w:tcBorders>
            <w:vAlign w:val="center"/>
          </w:tcPr>
          <w:p>
            <w:pPr>
              <w:spacing w:line="360" w:lineRule="auto"/>
              <w:contextualSpacing/>
              <w:jc w:val="center"/>
            </w:pPr>
            <w:r>
              <w:rPr>
                <w:rFonts w:hint="eastAsia"/>
              </w:rPr>
              <w:t>478.79</w:t>
            </w:r>
          </w:p>
        </w:tc>
        <w:tc>
          <w:tcPr>
            <w:tcW w:w="1740" w:type="dxa"/>
            <w:tcBorders>
              <w:tl2br w:val="nil"/>
              <w:tr2bl w:val="nil"/>
            </w:tcBorders>
            <w:vAlign w:val="center"/>
          </w:tcPr>
          <w:p>
            <w:pPr>
              <w:spacing w:line="360" w:lineRule="auto"/>
              <w:contextualSpacing/>
              <w:jc w:val="center"/>
            </w:pPr>
            <w:r>
              <w:rPr>
                <w:rFonts w:hint="eastAsia"/>
              </w:rPr>
              <w:t>92.97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62" w:type="dxa"/>
            <w:vMerge w:val="continue"/>
            <w:tcBorders>
              <w:tl2br w:val="nil"/>
              <w:tr2bl w:val="nil"/>
            </w:tcBorders>
            <w:vAlign w:val="center"/>
          </w:tcPr>
          <w:p>
            <w:pPr>
              <w:spacing w:line="360" w:lineRule="auto"/>
              <w:contextualSpacing/>
              <w:jc w:val="center"/>
            </w:pPr>
          </w:p>
        </w:tc>
        <w:tc>
          <w:tcPr>
            <w:tcW w:w="1807" w:type="dxa"/>
            <w:tcBorders>
              <w:tl2br w:val="nil"/>
              <w:tr2bl w:val="nil"/>
            </w:tcBorders>
            <w:vAlign w:val="center"/>
          </w:tcPr>
          <w:p>
            <w:pPr>
              <w:spacing w:line="360" w:lineRule="auto"/>
              <w:contextualSpacing/>
              <w:jc w:val="center"/>
            </w:pPr>
            <w:r>
              <w:rPr>
                <w:rFonts w:hint="eastAsia"/>
              </w:rPr>
              <w:t>10%次氯酸钠</w:t>
            </w:r>
          </w:p>
        </w:tc>
        <w:tc>
          <w:tcPr>
            <w:tcW w:w="1878" w:type="dxa"/>
            <w:tcBorders>
              <w:tl2br w:val="nil"/>
              <w:tr2bl w:val="nil"/>
            </w:tcBorders>
            <w:vAlign w:val="center"/>
          </w:tcPr>
          <w:p>
            <w:pPr>
              <w:spacing w:line="360" w:lineRule="auto"/>
              <w:contextualSpacing/>
              <w:jc w:val="center"/>
            </w:pPr>
            <w:r>
              <w:rPr>
                <w:rFonts w:hint="eastAsia"/>
              </w:rPr>
              <w:t>8.485吨</w:t>
            </w:r>
          </w:p>
        </w:tc>
        <w:tc>
          <w:tcPr>
            <w:tcW w:w="1571" w:type="dxa"/>
            <w:tcBorders>
              <w:tl2br w:val="nil"/>
              <w:tr2bl w:val="nil"/>
            </w:tcBorders>
            <w:vAlign w:val="center"/>
          </w:tcPr>
          <w:p>
            <w:pPr>
              <w:spacing w:line="360" w:lineRule="auto"/>
              <w:contextualSpacing/>
              <w:jc w:val="center"/>
            </w:pPr>
            <w:r>
              <w:rPr>
                <w:rFonts w:hint="eastAsia"/>
              </w:rPr>
              <w:t>7.</w:t>
            </w:r>
            <w:r>
              <w:rPr>
                <w:rFonts w:hint="eastAsia"/>
                <w:lang w:val="en-US" w:eastAsia="zh-CN"/>
              </w:rPr>
              <w:t>92</w:t>
            </w:r>
          </w:p>
        </w:tc>
        <w:tc>
          <w:tcPr>
            <w:tcW w:w="1740" w:type="dxa"/>
            <w:tcBorders>
              <w:tl2br w:val="nil"/>
              <w:tr2bl w:val="nil"/>
            </w:tcBorders>
            <w:vAlign w:val="center"/>
          </w:tcPr>
          <w:p>
            <w:pPr>
              <w:spacing w:line="360" w:lineRule="auto"/>
              <w:contextualSpacing/>
              <w:jc w:val="center"/>
              <w:rPr>
                <w:rFonts w:hint="default" w:eastAsia="宋体"/>
                <w:lang w:val="en-US" w:eastAsia="zh-CN"/>
              </w:rPr>
            </w:pPr>
            <w:r>
              <w:rPr>
                <w:rFonts w:hint="eastAsia"/>
                <w:lang w:val="en-US" w:eastAsia="zh-CN"/>
              </w:rPr>
              <w:t>93</w:t>
            </w:r>
            <w:r>
              <w:rPr>
                <w:rFonts w:hint="eastAsia"/>
              </w:rPr>
              <w:t>.</w:t>
            </w:r>
            <w:r>
              <w:rPr>
                <w:rFonts w:hint="eastAsia"/>
                <w:lang w:val="en-US" w:eastAsia="zh-CN"/>
              </w:rPr>
              <w:t>34</w:t>
            </w:r>
          </w:p>
        </w:tc>
      </w:tr>
    </w:tbl>
    <w:p>
      <w:pPr>
        <w:spacing w:line="360" w:lineRule="auto"/>
        <w:ind w:firstLine="480" w:firstLineChars="200"/>
        <w:rPr>
          <w:sz w:val="24"/>
          <w:szCs w:val="24"/>
        </w:rPr>
      </w:pPr>
      <w:r>
        <w:rPr>
          <w:sz w:val="24"/>
          <w:szCs w:val="24"/>
        </w:rPr>
        <w:t>由以上数据得出，</w:t>
      </w:r>
      <w:r>
        <w:rPr>
          <w:rFonts w:hint="eastAsia"/>
          <w:sz w:val="24"/>
          <w:szCs w:val="24"/>
        </w:rPr>
        <w:t xml:space="preserve">本项目验收监测期间，生产工况稳定，生产负荷为 </w:t>
      </w:r>
      <w:r>
        <w:rPr>
          <w:rFonts w:hint="eastAsia"/>
          <w:sz w:val="24"/>
          <w:szCs w:val="24"/>
          <w:lang w:val="en-US" w:eastAsia="zh-CN"/>
        </w:rPr>
        <w:t>92.97</w:t>
      </w:r>
      <w:r>
        <w:rPr>
          <w:rFonts w:hint="eastAsia"/>
          <w:sz w:val="24"/>
          <w:szCs w:val="24"/>
        </w:rPr>
        <w:t>-99.81%，且环境保护设备正常运行，满足建设项目竣工环境保护验收监测对工况稳定以及环保设备运行的要求。因此，本次验收监测工况为有效工况，监测结果能作为该项目竣工环境保护验收依据。</w:t>
      </w:r>
    </w:p>
    <w:p>
      <w:pPr>
        <w:pStyle w:val="10"/>
        <w:spacing w:line="360" w:lineRule="auto"/>
        <w:contextualSpacing/>
      </w:pPr>
      <w:bookmarkStart w:id="84" w:name="_Toc11602"/>
      <w:r>
        <w:t>9.2污染物排放监测结果及分析</w:t>
      </w:r>
      <w:bookmarkEnd w:id="84"/>
    </w:p>
    <w:p>
      <w:pPr>
        <w:pStyle w:val="11"/>
      </w:pPr>
      <w:bookmarkStart w:id="85" w:name="_Toc1544040"/>
      <w:bookmarkStart w:id="86" w:name="_Toc9261"/>
      <w:r>
        <w:t>9.2.1有组织废气排放监测结果</w:t>
      </w:r>
      <w:bookmarkEnd w:id="85"/>
      <w:bookmarkEnd w:id="86"/>
    </w:p>
    <w:p>
      <w:pPr>
        <w:spacing w:line="360" w:lineRule="auto"/>
        <w:contextualSpacing/>
        <w:rPr>
          <w:sz w:val="24"/>
          <w:szCs w:val="24"/>
        </w:rPr>
        <w:sectPr>
          <w:footerReference r:id="rId1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b/>
          <w:sz w:val="24"/>
          <w:szCs w:val="24"/>
        </w:rPr>
        <w:t>9.2.1.1有组织废气监测结果见表9.2-1</w:t>
      </w:r>
      <w:r>
        <w:rPr>
          <w:rFonts w:hint="eastAsia"/>
          <w:b/>
          <w:sz w:val="24"/>
          <w:szCs w:val="24"/>
        </w:rPr>
        <w:t>。</w:t>
      </w:r>
    </w:p>
    <w:p>
      <w:pPr>
        <w:contextualSpacing/>
        <w:jc w:val="center"/>
        <w:rPr>
          <w:sz w:val="24"/>
          <w:szCs w:val="24"/>
        </w:rPr>
      </w:pPr>
      <w:bookmarkStart w:id="87" w:name="_Hlk141777508"/>
      <w:r>
        <w:rPr>
          <w:b/>
          <w:bCs/>
        </w:rPr>
        <w:t>表9.2-</w:t>
      </w:r>
      <w:r>
        <w:rPr>
          <w:rFonts w:hint="eastAsia"/>
          <w:b/>
          <w:bCs/>
        </w:rPr>
        <w:t>1  P1</w:t>
      </w:r>
      <w:r>
        <w:rPr>
          <w:b/>
          <w:bCs/>
        </w:rPr>
        <w:t>排气筒有组织废气监测结果统计表（未检出</w:t>
      </w:r>
      <w:r>
        <w:rPr>
          <w:rFonts w:hint="eastAsia"/>
          <w:b/>
          <w:bCs/>
        </w:rPr>
        <w:t>以方法检出限L表示</w:t>
      </w:r>
      <w:r>
        <w:rPr>
          <w:b/>
          <w:bCs/>
        </w:rPr>
        <w:t>）</w:t>
      </w:r>
    </w:p>
    <w:tbl>
      <w:tblPr>
        <w:tblStyle w:val="39"/>
        <w:tblW w:w="1456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42"/>
        <w:gridCol w:w="1276"/>
        <w:gridCol w:w="992"/>
        <w:gridCol w:w="1063"/>
        <w:gridCol w:w="1063"/>
        <w:gridCol w:w="1063"/>
        <w:gridCol w:w="1063"/>
        <w:gridCol w:w="1063"/>
        <w:gridCol w:w="1063"/>
        <w:gridCol w:w="1063"/>
        <w:gridCol w:w="1064"/>
        <w:gridCol w:w="851"/>
        <w:gridCol w:w="99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709" w:type="dxa"/>
            <w:vMerge w:val="restart"/>
            <w:tcBorders>
              <w:tl2br w:val="nil"/>
              <w:tr2bl w:val="nil"/>
            </w:tcBorders>
            <w:vAlign w:val="center"/>
          </w:tcPr>
          <w:p>
            <w:pPr>
              <w:jc w:val="center"/>
              <w:rPr>
                <w:b/>
                <w:bCs/>
              </w:rPr>
            </w:pPr>
            <w:r>
              <w:rPr>
                <w:b/>
                <w:bCs/>
              </w:rPr>
              <w:t>监测</w:t>
            </w:r>
          </w:p>
          <w:p>
            <w:pPr>
              <w:jc w:val="center"/>
              <w:rPr>
                <w:b/>
                <w:bCs/>
              </w:rPr>
            </w:pPr>
            <w:r>
              <w:rPr>
                <w:b/>
                <w:bCs/>
              </w:rPr>
              <w:t>位点</w:t>
            </w:r>
          </w:p>
        </w:tc>
        <w:tc>
          <w:tcPr>
            <w:tcW w:w="2518" w:type="dxa"/>
            <w:gridSpan w:val="2"/>
            <w:vMerge w:val="restart"/>
            <w:tcBorders>
              <w:tl2br w:val="nil"/>
              <w:tr2bl w:val="nil"/>
            </w:tcBorders>
            <w:vAlign w:val="center"/>
          </w:tcPr>
          <w:p>
            <w:pPr>
              <w:jc w:val="center"/>
              <w:rPr>
                <w:b/>
                <w:bCs/>
              </w:rPr>
            </w:pPr>
            <w:r>
              <w:rPr>
                <w:b/>
                <w:bCs/>
              </w:rPr>
              <w:t>监测因子</w:t>
            </w:r>
          </w:p>
        </w:tc>
        <w:tc>
          <w:tcPr>
            <w:tcW w:w="992" w:type="dxa"/>
            <w:vMerge w:val="restart"/>
            <w:tcBorders>
              <w:tl2br w:val="nil"/>
              <w:tr2bl w:val="nil"/>
            </w:tcBorders>
            <w:vAlign w:val="center"/>
          </w:tcPr>
          <w:p>
            <w:pPr>
              <w:jc w:val="center"/>
              <w:rPr>
                <w:b/>
                <w:bCs/>
              </w:rPr>
            </w:pPr>
            <w:r>
              <w:rPr>
                <w:b/>
                <w:bCs/>
              </w:rPr>
              <w:t>单位</w:t>
            </w:r>
          </w:p>
        </w:tc>
        <w:tc>
          <w:tcPr>
            <w:tcW w:w="4252" w:type="dxa"/>
            <w:gridSpan w:val="4"/>
            <w:tcBorders>
              <w:tl2br w:val="nil"/>
              <w:tr2bl w:val="nil"/>
            </w:tcBorders>
            <w:vAlign w:val="center"/>
          </w:tcPr>
          <w:p>
            <w:pPr>
              <w:jc w:val="center"/>
              <w:rPr>
                <w:b/>
                <w:bCs/>
              </w:rPr>
            </w:pPr>
            <w:r>
              <w:rPr>
                <w:b/>
                <w:bCs/>
              </w:rPr>
              <w:t>202</w:t>
            </w:r>
            <w:r>
              <w:rPr>
                <w:rFonts w:hint="eastAsia"/>
                <w:b/>
                <w:bCs/>
              </w:rPr>
              <w:t>4.6.13</w:t>
            </w:r>
          </w:p>
        </w:tc>
        <w:tc>
          <w:tcPr>
            <w:tcW w:w="4253" w:type="dxa"/>
            <w:gridSpan w:val="4"/>
            <w:tcBorders>
              <w:tl2br w:val="nil"/>
              <w:tr2bl w:val="nil"/>
            </w:tcBorders>
            <w:vAlign w:val="center"/>
          </w:tcPr>
          <w:p>
            <w:pPr>
              <w:jc w:val="center"/>
              <w:rPr>
                <w:b/>
                <w:bCs/>
              </w:rPr>
            </w:pPr>
            <w:r>
              <w:rPr>
                <w:b/>
                <w:bCs/>
              </w:rPr>
              <w:t>202</w:t>
            </w:r>
            <w:r>
              <w:rPr>
                <w:rFonts w:hint="eastAsia"/>
                <w:b/>
                <w:bCs/>
              </w:rPr>
              <w:t>4.6.15</w:t>
            </w:r>
          </w:p>
        </w:tc>
        <w:tc>
          <w:tcPr>
            <w:tcW w:w="851" w:type="dxa"/>
            <w:vMerge w:val="restart"/>
            <w:tcBorders>
              <w:tl2br w:val="nil"/>
              <w:tr2bl w:val="nil"/>
            </w:tcBorders>
            <w:vAlign w:val="center"/>
          </w:tcPr>
          <w:p>
            <w:pPr>
              <w:jc w:val="center"/>
              <w:rPr>
                <w:b/>
                <w:bCs/>
              </w:rPr>
            </w:pPr>
            <w:r>
              <w:rPr>
                <w:b/>
                <w:bCs/>
              </w:rPr>
              <w:t>去除效率</w:t>
            </w:r>
            <w:r>
              <w:rPr>
                <w:rFonts w:hint="eastAsia"/>
                <w:b/>
                <w:bCs/>
              </w:rPr>
              <w:t>(</w:t>
            </w:r>
            <w:r>
              <w:rPr>
                <w:b/>
                <w:bCs/>
              </w:rPr>
              <w:t>%</w:t>
            </w:r>
            <w:r>
              <w:rPr>
                <w:rFonts w:hint="eastAsia"/>
                <w:b/>
                <w:bCs/>
              </w:rPr>
              <w:t>)</w:t>
            </w:r>
          </w:p>
        </w:tc>
        <w:tc>
          <w:tcPr>
            <w:tcW w:w="992" w:type="dxa"/>
            <w:vMerge w:val="restart"/>
            <w:tcBorders>
              <w:tl2br w:val="nil"/>
              <w:tr2bl w:val="nil"/>
            </w:tcBorders>
            <w:vAlign w:val="center"/>
          </w:tcPr>
          <w:p>
            <w:pPr>
              <w:jc w:val="center"/>
              <w:rPr>
                <w:b/>
                <w:bCs/>
              </w:rPr>
            </w:pPr>
            <w:r>
              <w:rPr>
                <w:b/>
                <w:bCs/>
              </w:rPr>
              <w:t>执行标准</w:t>
            </w:r>
            <w:r>
              <w:rPr>
                <w:rFonts w:hint="eastAsia"/>
                <w:b/>
                <w:bCs/>
              </w:rPr>
              <w:t>（见</w:t>
            </w:r>
            <w:r>
              <w:rPr>
                <w:b/>
                <w:bCs/>
              </w:rPr>
              <w:t>6.1</w:t>
            </w:r>
            <w:r>
              <w:rPr>
                <w:rFonts w:hint="eastAsia"/>
                <w:b/>
                <w:bCs/>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709" w:type="dxa"/>
            <w:vMerge w:val="continue"/>
            <w:tcBorders>
              <w:tl2br w:val="nil"/>
              <w:tr2bl w:val="nil"/>
            </w:tcBorders>
            <w:vAlign w:val="center"/>
          </w:tcPr>
          <w:p>
            <w:pPr>
              <w:tabs>
                <w:tab w:val="left" w:pos="2205"/>
              </w:tabs>
              <w:jc w:val="center"/>
            </w:pPr>
          </w:p>
        </w:tc>
        <w:tc>
          <w:tcPr>
            <w:tcW w:w="2518" w:type="dxa"/>
            <w:gridSpan w:val="2"/>
            <w:vMerge w:val="continue"/>
            <w:tcBorders>
              <w:tl2br w:val="nil"/>
              <w:tr2bl w:val="nil"/>
            </w:tcBorders>
            <w:vAlign w:val="center"/>
          </w:tcPr>
          <w:p>
            <w:pPr>
              <w:jc w:val="center"/>
              <w:rPr>
                <w:b/>
                <w:bCs/>
              </w:rPr>
            </w:pPr>
          </w:p>
        </w:tc>
        <w:tc>
          <w:tcPr>
            <w:tcW w:w="992" w:type="dxa"/>
            <w:vMerge w:val="continue"/>
            <w:tcBorders>
              <w:tl2br w:val="nil"/>
              <w:tr2bl w:val="nil"/>
            </w:tcBorders>
            <w:vAlign w:val="center"/>
          </w:tcPr>
          <w:p>
            <w:pPr>
              <w:jc w:val="center"/>
              <w:rPr>
                <w:b/>
                <w:bCs/>
              </w:rPr>
            </w:pPr>
          </w:p>
        </w:tc>
        <w:tc>
          <w:tcPr>
            <w:tcW w:w="1063" w:type="dxa"/>
            <w:tcBorders>
              <w:tl2br w:val="nil"/>
              <w:tr2bl w:val="nil"/>
            </w:tcBorders>
            <w:vAlign w:val="center"/>
          </w:tcPr>
          <w:p>
            <w:pPr>
              <w:jc w:val="center"/>
              <w:rPr>
                <w:b/>
                <w:bCs/>
              </w:rPr>
            </w:pPr>
            <w:r>
              <w:rPr>
                <w:b/>
                <w:bCs/>
              </w:rPr>
              <w:t>第1次</w:t>
            </w:r>
          </w:p>
        </w:tc>
        <w:tc>
          <w:tcPr>
            <w:tcW w:w="1063" w:type="dxa"/>
            <w:tcBorders>
              <w:tl2br w:val="nil"/>
              <w:tr2bl w:val="nil"/>
            </w:tcBorders>
            <w:vAlign w:val="center"/>
          </w:tcPr>
          <w:p>
            <w:pPr>
              <w:jc w:val="center"/>
              <w:rPr>
                <w:b/>
                <w:bCs/>
              </w:rPr>
            </w:pPr>
            <w:r>
              <w:rPr>
                <w:b/>
                <w:bCs/>
              </w:rPr>
              <w:t>第2次</w:t>
            </w:r>
          </w:p>
        </w:tc>
        <w:tc>
          <w:tcPr>
            <w:tcW w:w="1063" w:type="dxa"/>
            <w:tcBorders>
              <w:tl2br w:val="nil"/>
              <w:tr2bl w:val="nil"/>
            </w:tcBorders>
            <w:vAlign w:val="center"/>
          </w:tcPr>
          <w:p>
            <w:pPr>
              <w:jc w:val="center"/>
              <w:rPr>
                <w:b/>
                <w:bCs/>
              </w:rPr>
            </w:pPr>
            <w:r>
              <w:rPr>
                <w:b/>
                <w:bCs/>
              </w:rPr>
              <w:t>第3次</w:t>
            </w:r>
          </w:p>
        </w:tc>
        <w:tc>
          <w:tcPr>
            <w:tcW w:w="1063" w:type="dxa"/>
            <w:tcBorders>
              <w:tl2br w:val="nil"/>
              <w:tr2bl w:val="nil"/>
            </w:tcBorders>
            <w:vAlign w:val="center"/>
          </w:tcPr>
          <w:p>
            <w:pPr>
              <w:jc w:val="center"/>
              <w:rPr>
                <w:b/>
                <w:bCs/>
              </w:rPr>
            </w:pPr>
            <w:r>
              <w:rPr>
                <w:b/>
                <w:bCs/>
              </w:rPr>
              <w:t>最大值</w:t>
            </w:r>
          </w:p>
        </w:tc>
        <w:tc>
          <w:tcPr>
            <w:tcW w:w="1063" w:type="dxa"/>
            <w:tcBorders>
              <w:tl2br w:val="nil"/>
              <w:tr2bl w:val="nil"/>
            </w:tcBorders>
            <w:vAlign w:val="center"/>
          </w:tcPr>
          <w:p>
            <w:pPr>
              <w:jc w:val="center"/>
              <w:rPr>
                <w:b/>
                <w:bCs/>
              </w:rPr>
            </w:pPr>
            <w:r>
              <w:rPr>
                <w:b/>
                <w:bCs/>
              </w:rPr>
              <w:t>第1次</w:t>
            </w:r>
          </w:p>
        </w:tc>
        <w:tc>
          <w:tcPr>
            <w:tcW w:w="1063" w:type="dxa"/>
            <w:tcBorders>
              <w:tl2br w:val="nil"/>
              <w:tr2bl w:val="nil"/>
            </w:tcBorders>
            <w:vAlign w:val="center"/>
          </w:tcPr>
          <w:p>
            <w:pPr>
              <w:jc w:val="center"/>
              <w:rPr>
                <w:b/>
                <w:bCs/>
              </w:rPr>
            </w:pPr>
            <w:r>
              <w:rPr>
                <w:b/>
                <w:bCs/>
              </w:rPr>
              <w:t>第2次</w:t>
            </w:r>
          </w:p>
        </w:tc>
        <w:tc>
          <w:tcPr>
            <w:tcW w:w="1063" w:type="dxa"/>
            <w:tcBorders>
              <w:tl2br w:val="nil"/>
              <w:tr2bl w:val="nil"/>
            </w:tcBorders>
            <w:vAlign w:val="center"/>
          </w:tcPr>
          <w:p>
            <w:pPr>
              <w:jc w:val="center"/>
              <w:rPr>
                <w:b/>
                <w:bCs/>
              </w:rPr>
            </w:pPr>
            <w:r>
              <w:rPr>
                <w:b/>
                <w:bCs/>
              </w:rPr>
              <w:t>第3次</w:t>
            </w:r>
          </w:p>
        </w:tc>
        <w:tc>
          <w:tcPr>
            <w:tcW w:w="1064" w:type="dxa"/>
            <w:tcBorders>
              <w:tl2br w:val="nil"/>
              <w:tr2bl w:val="nil"/>
            </w:tcBorders>
            <w:vAlign w:val="center"/>
          </w:tcPr>
          <w:p>
            <w:pPr>
              <w:jc w:val="center"/>
              <w:rPr>
                <w:b/>
                <w:bCs/>
              </w:rPr>
            </w:pPr>
            <w:r>
              <w:rPr>
                <w:b/>
                <w:bCs/>
              </w:rPr>
              <w:t>最大值</w:t>
            </w:r>
          </w:p>
        </w:tc>
        <w:tc>
          <w:tcPr>
            <w:tcW w:w="851" w:type="dxa"/>
            <w:vMerge w:val="continue"/>
            <w:tcBorders>
              <w:tl2br w:val="nil"/>
              <w:tr2bl w:val="nil"/>
            </w:tcBorders>
            <w:vAlign w:val="center"/>
          </w:tcPr>
          <w:p>
            <w:pPr>
              <w:tabs>
                <w:tab w:val="left" w:pos="2205"/>
              </w:tabs>
              <w:jc w:val="center"/>
            </w:pPr>
          </w:p>
        </w:tc>
        <w:tc>
          <w:tcPr>
            <w:tcW w:w="992" w:type="dxa"/>
            <w:vMerge w:val="continue"/>
            <w:tcBorders>
              <w:tl2br w:val="nil"/>
              <w:tr2bl w:val="nil"/>
            </w:tcBorders>
            <w:vAlign w:val="center"/>
          </w:tcPr>
          <w:p>
            <w:pPr>
              <w:tabs>
                <w:tab w:val="left" w:pos="2205"/>
              </w:tabs>
              <w:jc w:val="cente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9" w:type="dxa"/>
            <w:vMerge w:val="restart"/>
            <w:tcBorders>
              <w:tl2br w:val="nil"/>
              <w:tr2bl w:val="nil"/>
            </w:tcBorders>
            <w:vAlign w:val="center"/>
          </w:tcPr>
          <w:p>
            <w:pPr>
              <w:tabs>
                <w:tab w:val="left" w:pos="2205"/>
              </w:tabs>
              <w:jc w:val="center"/>
            </w:pPr>
            <w:r>
              <w:rPr>
                <w:rFonts w:hint="eastAsia"/>
              </w:rPr>
              <w:t>P1排气筒出口</w:t>
            </w:r>
          </w:p>
        </w:tc>
        <w:tc>
          <w:tcPr>
            <w:tcW w:w="1242" w:type="dxa"/>
            <w:vMerge w:val="restart"/>
            <w:tcBorders>
              <w:tl2br w:val="nil"/>
              <w:tr2bl w:val="nil"/>
            </w:tcBorders>
            <w:vAlign w:val="center"/>
          </w:tcPr>
          <w:p>
            <w:pPr>
              <w:spacing w:line="240" w:lineRule="exact"/>
              <w:jc w:val="center"/>
            </w:pPr>
            <w:r>
              <w:rPr>
                <w:rFonts w:hint="eastAsia"/>
              </w:rPr>
              <w:t>氯气</w:t>
            </w:r>
          </w:p>
        </w:tc>
        <w:tc>
          <w:tcPr>
            <w:tcW w:w="1276" w:type="dxa"/>
            <w:tcBorders>
              <w:tl2br w:val="nil"/>
              <w:tr2bl w:val="nil"/>
            </w:tcBorders>
            <w:vAlign w:val="center"/>
          </w:tcPr>
          <w:p>
            <w:pPr>
              <w:jc w:val="center"/>
            </w:pPr>
            <w:r>
              <w:t>废气流量</w:t>
            </w:r>
          </w:p>
        </w:tc>
        <w:tc>
          <w:tcPr>
            <w:tcW w:w="992" w:type="dxa"/>
            <w:tcBorders>
              <w:tl2br w:val="nil"/>
              <w:tr2bl w:val="nil"/>
            </w:tcBorders>
            <w:vAlign w:val="center"/>
          </w:tcPr>
          <w:p>
            <w:pPr>
              <w:tabs>
                <w:tab w:val="left" w:pos="2205"/>
              </w:tabs>
              <w:jc w:val="center"/>
            </w:pPr>
            <w:r>
              <w:t>m</w:t>
            </w:r>
            <w:r>
              <w:rPr>
                <w:vertAlign w:val="superscript"/>
              </w:rPr>
              <w:t>3</w:t>
            </w:r>
            <w:r>
              <w:t>/h</w:t>
            </w:r>
          </w:p>
        </w:tc>
        <w:tc>
          <w:tcPr>
            <w:tcW w:w="1063" w:type="dxa"/>
            <w:tcBorders>
              <w:tl2br w:val="nil"/>
              <w:tr2bl w:val="nil"/>
            </w:tcBorders>
            <w:vAlign w:val="center"/>
          </w:tcPr>
          <w:p>
            <w:pPr>
              <w:tabs>
                <w:tab w:val="left" w:pos="2205"/>
              </w:tabs>
              <w:jc w:val="center"/>
              <w:rPr>
                <w:color w:val="auto"/>
              </w:rPr>
            </w:pPr>
            <w:r>
              <w:rPr>
                <w:rFonts w:hint="eastAsia"/>
                <w:color w:val="auto"/>
              </w:rPr>
              <w:t>1721</w:t>
            </w:r>
          </w:p>
        </w:tc>
        <w:tc>
          <w:tcPr>
            <w:tcW w:w="1063" w:type="dxa"/>
            <w:tcBorders>
              <w:tl2br w:val="nil"/>
              <w:tr2bl w:val="nil"/>
            </w:tcBorders>
            <w:vAlign w:val="center"/>
          </w:tcPr>
          <w:p>
            <w:pPr>
              <w:tabs>
                <w:tab w:val="left" w:pos="2205"/>
              </w:tabs>
              <w:jc w:val="center"/>
              <w:rPr>
                <w:color w:val="auto"/>
              </w:rPr>
            </w:pPr>
            <w:r>
              <w:rPr>
                <w:rFonts w:hint="eastAsia"/>
                <w:color w:val="auto"/>
              </w:rPr>
              <w:t>1579</w:t>
            </w:r>
          </w:p>
        </w:tc>
        <w:tc>
          <w:tcPr>
            <w:tcW w:w="1063" w:type="dxa"/>
            <w:tcBorders>
              <w:tl2br w:val="nil"/>
              <w:tr2bl w:val="nil"/>
            </w:tcBorders>
            <w:vAlign w:val="center"/>
          </w:tcPr>
          <w:p>
            <w:pPr>
              <w:tabs>
                <w:tab w:val="left" w:pos="2205"/>
              </w:tabs>
              <w:jc w:val="center"/>
              <w:rPr>
                <w:color w:val="auto"/>
              </w:rPr>
            </w:pPr>
            <w:r>
              <w:rPr>
                <w:rFonts w:hint="eastAsia"/>
                <w:color w:val="auto"/>
              </w:rPr>
              <w:t>1559</w:t>
            </w:r>
          </w:p>
        </w:tc>
        <w:tc>
          <w:tcPr>
            <w:tcW w:w="1063" w:type="dxa"/>
            <w:tcBorders>
              <w:tl2br w:val="nil"/>
              <w:tr2bl w:val="nil"/>
            </w:tcBorders>
            <w:vAlign w:val="center"/>
          </w:tcPr>
          <w:p>
            <w:pPr>
              <w:tabs>
                <w:tab w:val="left" w:pos="2205"/>
              </w:tabs>
              <w:jc w:val="center"/>
              <w:rPr>
                <w:color w:val="auto"/>
              </w:rPr>
            </w:pPr>
            <w:r>
              <w:rPr>
                <w:rFonts w:hint="eastAsia"/>
                <w:color w:val="auto"/>
              </w:rPr>
              <w:t>1721</w:t>
            </w:r>
          </w:p>
        </w:tc>
        <w:tc>
          <w:tcPr>
            <w:tcW w:w="1063" w:type="dxa"/>
            <w:tcBorders>
              <w:tl2br w:val="nil"/>
              <w:tr2bl w:val="nil"/>
            </w:tcBorders>
            <w:vAlign w:val="center"/>
          </w:tcPr>
          <w:p>
            <w:pPr>
              <w:tabs>
                <w:tab w:val="left" w:pos="2205"/>
              </w:tabs>
              <w:jc w:val="center"/>
              <w:rPr>
                <w:color w:val="auto"/>
              </w:rPr>
            </w:pPr>
            <w:r>
              <w:rPr>
                <w:rFonts w:hint="eastAsia"/>
                <w:color w:val="auto"/>
              </w:rPr>
              <w:t>1825</w:t>
            </w:r>
          </w:p>
        </w:tc>
        <w:tc>
          <w:tcPr>
            <w:tcW w:w="1063" w:type="dxa"/>
            <w:tcBorders>
              <w:tl2br w:val="nil"/>
              <w:tr2bl w:val="nil"/>
            </w:tcBorders>
            <w:vAlign w:val="center"/>
          </w:tcPr>
          <w:p>
            <w:pPr>
              <w:tabs>
                <w:tab w:val="left" w:pos="2205"/>
              </w:tabs>
              <w:jc w:val="center"/>
              <w:rPr>
                <w:color w:val="auto"/>
              </w:rPr>
            </w:pPr>
            <w:r>
              <w:rPr>
                <w:rFonts w:hint="eastAsia"/>
                <w:color w:val="auto"/>
              </w:rPr>
              <w:t>1493</w:t>
            </w:r>
          </w:p>
        </w:tc>
        <w:tc>
          <w:tcPr>
            <w:tcW w:w="1063" w:type="dxa"/>
            <w:tcBorders>
              <w:tl2br w:val="nil"/>
              <w:tr2bl w:val="nil"/>
            </w:tcBorders>
            <w:vAlign w:val="center"/>
          </w:tcPr>
          <w:p>
            <w:pPr>
              <w:tabs>
                <w:tab w:val="left" w:pos="2205"/>
              </w:tabs>
              <w:jc w:val="center"/>
              <w:rPr>
                <w:color w:val="auto"/>
              </w:rPr>
            </w:pPr>
            <w:r>
              <w:rPr>
                <w:rFonts w:hint="eastAsia"/>
                <w:color w:val="auto"/>
              </w:rPr>
              <w:t>1369</w:t>
            </w:r>
          </w:p>
        </w:tc>
        <w:tc>
          <w:tcPr>
            <w:tcW w:w="1064" w:type="dxa"/>
            <w:tcBorders>
              <w:tl2br w:val="nil"/>
              <w:tr2bl w:val="nil"/>
            </w:tcBorders>
            <w:vAlign w:val="center"/>
          </w:tcPr>
          <w:p>
            <w:pPr>
              <w:tabs>
                <w:tab w:val="left" w:pos="2205"/>
              </w:tabs>
              <w:jc w:val="center"/>
              <w:rPr>
                <w:color w:val="auto"/>
              </w:rPr>
            </w:pPr>
            <w:r>
              <w:rPr>
                <w:rFonts w:hint="eastAsia"/>
                <w:color w:val="auto"/>
              </w:rPr>
              <w:t>1825</w:t>
            </w:r>
          </w:p>
        </w:tc>
        <w:tc>
          <w:tcPr>
            <w:tcW w:w="851" w:type="dxa"/>
            <w:tcBorders>
              <w:tl2br w:val="nil"/>
              <w:tr2bl w:val="nil"/>
            </w:tcBorders>
            <w:vAlign w:val="center"/>
          </w:tcPr>
          <w:p>
            <w:pPr>
              <w:tabs>
                <w:tab w:val="left" w:pos="2205"/>
              </w:tabs>
              <w:jc w:val="center"/>
            </w:pPr>
            <w:r>
              <w:t>/</w:t>
            </w:r>
          </w:p>
        </w:tc>
        <w:tc>
          <w:tcPr>
            <w:tcW w:w="992" w:type="dxa"/>
            <w:tcBorders>
              <w:tl2br w:val="nil"/>
              <w:tr2bl w:val="nil"/>
            </w:tcBorders>
            <w:vAlign w:val="center"/>
          </w:tcPr>
          <w:p>
            <w:pPr>
              <w:tabs>
                <w:tab w:val="left" w:pos="2205"/>
              </w:tabs>
              <w:jc w:val="center"/>
            </w:pPr>
            <w:r>
              <w:rPr>
                <w:rFonts w:hint="eastAsia"/>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9" w:type="dxa"/>
            <w:vMerge w:val="continue"/>
            <w:tcBorders>
              <w:tl2br w:val="nil"/>
              <w:tr2bl w:val="nil"/>
            </w:tcBorders>
            <w:vAlign w:val="center"/>
          </w:tcPr>
          <w:p>
            <w:pPr>
              <w:tabs>
                <w:tab w:val="left" w:pos="2205"/>
              </w:tabs>
              <w:jc w:val="center"/>
            </w:pPr>
          </w:p>
        </w:tc>
        <w:tc>
          <w:tcPr>
            <w:tcW w:w="1242" w:type="dxa"/>
            <w:vMerge w:val="continue"/>
            <w:tcBorders>
              <w:tl2br w:val="nil"/>
              <w:tr2bl w:val="nil"/>
            </w:tcBorders>
            <w:vAlign w:val="center"/>
          </w:tcPr>
          <w:p>
            <w:pPr>
              <w:spacing w:line="240" w:lineRule="exact"/>
              <w:jc w:val="center"/>
            </w:pPr>
          </w:p>
        </w:tc>
        <w:tc>
          <w:tcPr>
            <w:tcW w:w="1276" w:type="dxa"/>
            <w:tcBorders>
              <w:tl2br w:val="nil"/>
              <w:tr2bl w:val="nil"/>
            </w:tcBorders>
            <w:vAlign w:val="center"/>
          </w:tcPr>
          <w:p>
            <w:pPr>
              <w:spacing w:line="240" w:lineRule="exact"/>
              <w:jc w:val="center"/>
            </w:pPr>
            <w:r>
              <w:t>实测浓度</w:t>
            </w:r>
          </w:p>
        </w:tc>
        <w:tc>
          <w:tcPr>
            <w:tcW w:w="992" w:type="dxa"/>
            <w:tcBorders>
              <w:tl2br w:val="nil"/>
              <w:tr2bl w:val="nil"/>
            </w:tcBorders>
            <w:vAlign w:val="center"/>
          </w:tcPr>
          <w:p>
            <w:pPr>
              <w:spacing w:line="240" w:lineRule="exact"/>
              <w:jc w:val="center"/>
            </w:pPr>
            <w:r>
              <w:t>mg/m</w:t>
            </w:r>
            <w:r>
              <w:rPr>
                <w:vertAlign w:val="superscript"/>
              </w:rPr>
              <w:t>3</w:t>
            </w:r>
          </w:p>
        </w:tc>
        <w:tc>
          <w:tcPr>
            <w:tcW w:w="1063" w:type="dxa"/>
            <w:tcBorders>
              <w:tl2br w:val="nil"/>
              <w:tr2bl w:val="nil"/>
            </w:tcBorders>
            <w:vAlign w:val="center"/>
          </w:tcPr>
          <w:p>
            <w:pPr>
              <w:tabs>
                <w:tab w:val="left" w:pos="2205"/>
              </w:tabs>
              <w:jc w:val="center"/>
              <w:rPr>
                <w:color w:val="auto"/>
              </w:rPr>
            </w:pPr>
            <w:r>
              <w:rPr>
                <w:rFonts w:hint="eastAsia"/>
                <w:color w:val="auto"/>
              </w:rPr>
              <w:t>3.4</w:t>
            </w:r>
          </w:p>
        </w:tc>
        <w:tc>
          <w:tcPr>
            <w:tcW w:w="1063" w:type="dxa"/>
            <w:tcBorders>
              <w:tl2br w:val="nil"/>
              <w:tr2bl w:val="nil"/>
            </w:tcBorders>
            <w:vAlign w:val="center"/>
          </w:tcPr>
          <w:p>
            <w:pPr>
              <w:tabs>
                <w:tab w:val="left" w:pos="2205"/>
              </w:tabs>
              <w:jc w:val="center"/>
              <w:rPr>
                <w:color w:val="auto"/>
              </w:rPr>
            </w:pPr>
            <w:r>
              <w:rPr>
                <w:rFonts w:hint="eastAsia"/>
                <w:color w:val="auto"/>
              </w:rPr>
              <w:t>2.5</w:t>
            </w:r>
          </w:p>
        </w:tc>
        <w:tc>
          <w:tcPr>
            <w:tcW w:w="1063" w:type="dxa"/>
            <w:tcBorders>
              <w:tl2br w:val="nil"/>
              <w:tr2bl w:val="nil"/>
            </w:tcBorders>
            <w:vAlign w:val="center"/>
          </w:tcPr>
          <w:p>
            <w:pPr>
              <w:tabs>
                <w:tab w:val="left" w:pos="2205"/>
              </w:tabs>
              <w:jc w:val="center"/>
              <w:rPr>
                <w:color w:val="auto"/>
              </w:rPr>
            </w:pPr>
            <w:r>
              <w:rPr>
                <w:rFonts w:hint="eastAsia"/>
                <w:color w:val="auto"/>
              </w:rPr>
              <w:t>2.8</w:t>
            </w:r>
          </w:p>
        </w:tc>
        <w:tc>
          <w:tcPr>
            <w:tcW w:w="1063" w:type="dxa"/>
            <w:tcBorders>
              <w:tl2br w:val="nil"/>
              <w:tr2bl w:val="nil"/>
            </w:tcBorders>
            <w:vAlign w:val="center"/>
          </w:tcPr>
          <w:p>
            <w:pPr>
              <w:tabs>
                <w:tab w:val="left" w:pos="2205"/>
              </w:tabs>
              <w:jc w:val="center"/>
              <w:rPr>
                <w:color w:val="auto"/>
              </w:rPr>
            </w:pPr>
            <w:r>
              <w:rPr>
                <w:rFonts w:hint="eastAsia"/>
                <w:color w:val="auto"/>
              </w:rPr>
              <w:t>3.4</w:t>
            </w:r>
          </w:p>
        </w:tc>
        <w:tc>
          <w:tcPr>
            <w:tcW w:w="1063" w:type="dxa"/>
            <w:tcBorders>
              <w:tl2br w:val="nil"/>
              <w:tr2bl w:val="nil"/>
            </w:tcBorders>
            <w:vAlign w:val="center"/>
          </w:tcPr>
          <w:p>
            <w:pPr>
              <w:tabs>
                <w:tab w:val="left" w:pos="2205"/>
              </w:tabs>
              <w:jc w:val="center"/>
              <w:rPr>
                <w:color w:val="auto"/>
              </w:rPr>
            </w:pPr>
            <w:r>
              <w:rPr>
                <w:rFonts w:hint="eastAsia"/>
                <w:color w:val="auto"/>
              </w:rPr>
              <w:t>3.7</w:t>
            </w:r>
          </w:p>
        </w:tc>
        <w:tc>
          <w:tcPr>
            <w:tcW w:w="1063" w:type="dxa"/>
            <w:tcBorders>
              <w:tl2br w:val="nil"/>
              <w:tr2bl w:val="nil"/>
            </w:tcBorders>
            <w:vAlign w:val="center"/>
          </w:tcPr>
          <w:p>
            <w:pPr>
              <w:tabs>
                <w:tab w:val="left" w:pos="2205"/>
              </w:tabs>
              <w:jc w:val="center"/>
              <w:rPr>
                <w:color w:val="auto"/>
              </w:rPr>
            </w:pPr>
            <w:r>
              <w:rPr>
                <w:rFonts w:hint="eastAsia"/>
                <w:color w:val="auto"/>
              </w:rPr>
              <w:t>3.9</w:t>
            </w:r>
          </w:p>
        </w:tc>
        <w:tc>
          <w:tcPr>
            <w:tcW w:w="1063" w:type="dxa"/>
            <w:tcBorders>
              <w:tl2br w:val="nil"/>
              <w:tr2bl w:val="nil"/>
            </w:tcBorders>
            <w:vAlign w:val="center"/>
          </w:tcPr>
          <w:p>
            <w:pPr>
              <w:tabs>
                <w:tab w:val="left" w:pos="2205"/>
              </w:tabs>
              <w:jc w:val="center"/>
              <w:rPr>
                <w:color w:val="auto"/>
              </w:rPr>
            </w:pPr>
            <w:r>
              <w:rPr>
                <w:rFonts w:hint="eastAsia"/>
                <w:color w:val="auto"/>
              </w:rPr>
              <w:t>3.6</w:t>
            </w:r>
          </w:p>
        </w:tc>
        <w:tc>
          <w:tcPr>
            <w:tcW w:w="1064" w:type="dxa"/>
            <w:tcBorders>
              <w:tl2br w:val="nil"/>
              <w:tr2bl w:val="nil"/>
            </w:tcBorders>
            <w:vAlign w:val="center"/>
          </w:tcPr>
          <w:p>
            <w:pPr>
              <w:tabs>
                <w:tab w:val="left" w:pos="2205"/>
              </w:tabs>
              <w:jc w:val="center"/>
              <w:rPr>
                <w:color w:val="auto"/>
              </w:rPr>
            </w:pPr>
            <w:r>
              <w:rPr>
                <w:rFonts w:hint="eastAsia"/>
                <w:color w:val="auto"/>
              </w:rPr>
              <w:t>3.9</w:t>
            </w:r>
          </w:p>
        </w:tc>
        <w:tc>
          <w:tcPr>
            <w:tcW w:w="851" w:type="dxa"/>
            <w:tcBorders>
              <w:tl2br w:val="nil"/>
              <w:tr2bl w:val="nil"/>
            </w:tcBorders>
            <w:vAlign w:val="center"/>
          </w:tcPr>
          <w:p>
            <w:pPr>
              <w:tabs>
                <w:tab w:val="left" w:pos="2205"/>
              </w:tabs>
              <w:jc w:val="center"/>
            </w:pPr>
            <w:r>
              <w:t>/</w:t>
            </w:r>
          </w:p>
        </w:tc>
        <w:tc>
          <w:tcPr>
            <w:tcW w:w="992" w:type="dxa"/>
            <w:tcBorders>
              <w:tl2br w:val="nil"/>
              <w:tr2bl w:val="nil"/>
            </w:tcBorders>
            <w:vAlign w:val="center"/>
          </w:tcPr>
          <w:p>
            <w:pPr>
              <w:tabs>
                <w:tab w:val="left" w:pos="2205"/>
              </w:tabs>
              <w:jc w:val="center"/>
            </w:pPr>
            <w:r>
              <w:rPr>
                <w:rFonts w:hint="eastAsia"/>
              </w:rPr>
              <w:t>5.0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9" w:type="dxa"/>
            <w:vMerge w:val="continue"/>
            <w:tcBorders>
              <w:tl2br w:val="nil"/>
              <w:tr2bl w:val="nil"/>
            </w:tcBorders>
            <w:vAlign w:val="center"/>
          </w:tcPr>
          <w:p>
            <w:pPr>
              <w:tabs>
                <w:tab w:val="left" w:pos="2205"/>
              </w:tabs>
              <w:jc w:val="center"/>
              <w:rPr>
                <w:color w:val="FF0000"/>
              </w:rPr>
            </w:pPr>
          </w:p>
        </w:tc>
        <w:tc>
          <w:tcPr>
            <w:tcW w:w="1242" w:type="dxa"/>
            <w:vMerge w:val="continue"/>
            <w:tcBorders>
              <w:tl2br w:val="nil"/>
              <w:tr2bl w:val="nil"/>
            </w:tcBorders>
            <w:vAlign w:val="center"/>
          </w:tcPr>
          <w:p>
            <w:pPr>
              <w:tabs>
                <w:tab w:val="left" w:pos="2205"/>
              </w:tabs>
              <w:jc w:val="center"/>
              <w:rPr>
                <w:color w:val="FF0000"/>
              </w:rPr>
            </w:pPr>
          </w:p>
        </w:tc>
        <w:tc>
          <w:tcPr>
            <w:tcW w:w="1276" w:type="dxa"/>
            <w:tcBorders>
              <w:tl2br w:val="nil"/>
              <w:tr2bl w:val="nil"/>
            </w:tcBorders>
            <w:vAlign w:val="center"/>
          </w:tcPr>
          <w:p>
            <w:pPr>
              <w:tabs>
                <w:tab w:val="left" w:pos="2205"/>
              </w:tabs>
              <w:jc w:val="center"/>
            </w:pPr>
            <w:r>
              <w:t>排放速率</w:t>
            </w:r>
          </w:p>
        </w:tc>
        <w:tc>
          <w:tcPr>
            <w:tcW w:w="992" w:type="dxa"/>
            <w:tcBorders>
              <w:tl2br w:val="nil"/>
              <w:tr2bl w:val="nil"/>
            </w:tcBorders>
            <w:vAlign w:val="center"/>
          </w:tcPr>
          <w:p>
            <w:pPr>
              <w:tabs>
                <w:tab w:val="left" w:pos="2205"/>
              </w:tabs>
              <w:jc w:val="center"/>
            </w:pPr>
            <w:r>
              <w:t>kg/h</w:t>
            </w:r>
          </w:p>
        </w:tc>
        <w:tc>
          <w:tcPr>
            <w:tcW w:w="1063" w:type="dxa"/>
            <w:tcBorders>
              <w:tl2br w:val="nil"/>
              <w:tr2bl w:val="nil"/>
            </w:tcBorders>
            <w:vAlign w:val="center"/>
          </w:tcPr>
          <w:p>
            <w:pPr>
              <w:tabs>
                <w:tab w:val="left" w:pos="2205"/>
              </w:tabs>
              <w:jc w:val="center"/>
              <w:rPr>
                <w:color w:val="auto"/>
              </w:rPr>
            </w:pPr>
            <w:r>
              <w:rPr>
                <w:color w:val="auto"/>
                <w:szCs w:val="24"/>
              </w:rPr>
              <w:t>0.0059</w:t>
            </w:r>
          </w:p>
        </w:tc>
        <w:tc>
          <w:tcPr>
            <w:tcW w:w="1063" w:type="dxa"/>
            <w:tcBorders>
              <w:tl2br w:val="nil"/>
              <w:tr2bl w:val="nil"/>
            </w:tcBorders>
            <w:vAlign w:val="center"/>
          </w:tcPr>
          <w:p>
            <w:pPr>
              <w:tabs>
                <w:tab w:val="left" w:pos="2205"/>
              </w:tabs>
              <w:jc w:val="center"/>
              <w:rPr>
                <w:color w:val="auto"/>
              </w:rPr>
            </w:pPr>
            <w:r>
              <w:rPr>
                <w:color w:val="auto"/>
                <w:szCs w:val="24"/>
              </w:rPr>
              <w:t>0.00</w:t>
            </w:r>
            <w:r>
              <w:rPr>
                <w:rFonts w:hint="eastAsia"/>
                <w:color w:val="auto"/>
                <w:szCs w:val="24"/>
              </w:rPr>
              <w:t>39</w:t>
            </w:r>
          </w:p>
        </w:tc>
        <w:tc>
          <w:tcPr>
            <w:tcW w:w="1063" w:type="dxa"/>
            <w:tcBorders>
              <w:tl2br w:val="nil"/>
              <w:tr2bl w:val="nil"/>
            </w:tcBorders>
            <w:vAlign w:val="center"/>
          </w:tcPr>
          <w:p>
            <w:pPr>
              <w:tabs>
                <w:tab w:val="left" w:pos="2205"/>
              </w:tabs>
              <w:jc w:val="center"/>
              <w:rPr>
                <w:color w:val="auto"/>
              </w:rPr>
            </w:pPr>
            <w:r>
              <w:rPr>
                <w:color w:val="auto"/>
                <w:szCs w:val="24"/>
              </w:rPr>
              <w:t>0.00</w:t>
            </w:r>
            <w:r>
              <w:rPr>
                <w:rFonts w:hint="eastAsia"/>
                <w:color w:val="auto"/>
                <w:szCs w:val="24"/>
              </w:rPr>
              <w:t>44</w:t>
            </w:r>
          </w:p>
        </w:tc>
        <w:tc>
          <w:tcPr>
            <w:tcW w:w="1063" w:type="dxa"/>
            <w:tcBorders>
              <w:tl2br w:val="nil"/>
              <w:tr2bl w:val="nil"/>
            </w:tcBorders>
            <w:vAlign w:val="center"/>
          </w:tcPr>
          <w:p>
            <w:pPr>
              <w:tabs>
                <w:tab w:val="left" w:pos="2205"/>
              </w:tabs>
              <w:jc w:val="center"/>
              <w:rPr>
                <w:color w:val="auto"/>
              </w:rPr>
            </w:pPr>
            <w:r>
              <w:rPr>
                <w:rFonts w:hint="eastAsia"/>
                <w:color w:val="auto"/>
                <w:szCs w:val="24"/>
              </w:rPr>
              <w:t>0.0059</w:t>
            </w:r>
          </w:p>
        </w:tc>
        <w:tc>
          <w:tcPr>
            <w:tcW w:w="1063" w:type="dxa"/>
            <w:tcBorders>
              <w:tl2br w:val="nil"/>
              <w:tr2bl w:val="nil"/>
            </w:tcBorders>
            <w:vAlign w:val="center"/>
          </w:tcPr>
          <w:p>
            <w:pPr>
              <w:tabs>
                <w:tab w:val="left" w:pos="2205"/>
              </w:tabs>
              <w:jc w:val="center"/>
              <w:rPr>
                <w:color w:val="auto"/>
              </w:rPr>
            </w:pPr>
            <w:r>
              <w:rPr>
                <w:color w:val="auto"/>
                <w:szCs w:val="24"/>
              </w:rPr>
              <w:t>0.0068</w:t>
            </w:r>
          </w:p>
        </w:tc>
        <w:tc>
          <w:tcPr>
            <w:tcW w:w="1063" w:type="dxa"/>
            <w:tcBorders>
              <w:tl2br w:val="nil"/>
              <w:tr2bl w:val="nil"/>
            </w:tcBorders>
            <w:vAlign w:val="center"/>
          </w:tcPr>
          <w:p>
            <w:pPr>
              <w:tabs>
                <w:tab w:val="left" w:pos="2205"/>
              </w:tabs>
              <w:jc w:val="center"/>
              <w:rPr>
                <w:color w:val="auto"/>
              </w:rPr>
            </w:pPr>
            <w:r>
              <w:rPr>
                <w:color w:val="auto"/>
                <w:szCs w:val="24"/>
              </w:rPr>
              <w:t>0.00</w:t>
            </w:r>
            <w:r>
              <w:rPr>
                <w:rFonts w:hint="eastAsia"/>
                <w:color w:val="auto"/>
                <w:szCs w:val="24"/>
              </w:rPr>
              <w:t>5</w:t>
            </w:r>
            <w:r>
              <w:rPr>
                <w:color w:val="auto"/>
                <w:szCs w:val="24"/>
              </w:rPr>
              <w:t>8</w:t>
            </w:r>
          </w:p>
        </w:tc>
        <w:tc>
          <w:tcPr>
            <w:tcW w:w="1063" w:type="dxa"/>
            <w:tcBorders>
              <w:tl2br w:val="nil"/>
              <w:tr2bl w:val="nil"/>
            </w:tcBorders>
            <w:vAlign w:val="center"/>
          </w:tcPr>
          <w:p>
            <w:pPr>
              <w:tabs>
                <w:tab w:val="left" w:pos="2205"/>
              </w:tabs>
              <w:jc w:val="center"/>
              <w:rPr>
                <w:color w:val="auto"/>
              </w:rPr>
            </w:pPr>
            <w:r>
              <w:rPr>
                <w:color w:val="auto"/>
                <w:szCs w:val="24"/>
              </w:rPr>
              <w:t>0.00</w:t>
            </w:r>
            <w:r>
              <w:rPr>
                <w:rFonts w:hint="eastAsia"/>
                <w:color w:val="auto"/>
                <w:szCs w:val="24"/>
              </w:rPr>
              <w:t>49</w:t>
            </w:r>
          </w:p>
        </w:tc>
        <w:tc>
          <w:tcPr>
            <w:tcW w:w="1064" w:type="dxa"/>
            <w:tcBorders>
              <w:tl2br w:val="nil"/>
              <w:tr2bl w:val="nil"/>
            </w:tcBorders>
            <w:vAlign w:val="center"/>
          </w:tcPr>
          <w:p>
            <w:pPr>
              <w:tabs>
                <w:tab w:val="left" w:pos="2205"/>
              </w:tabs>
              <w:jc w:val="center"/>
              <w:rPr>
                <w:color w:val="auto"/>
              </w:rPr>
            </w:pPr>
            <w:r>
              <w:rPr>
                <w:color w:val="auto"/>
                <w:szCs w:val="24"/>
              </w:rPr>
              <w:t>0.0068</w:t>
            </w:r>
          </w:p>
        </w:tc>
        <w:tc>
          <w:tcPr>
            <w:tcW w:w="851" w:type="dxa"/>
            <w:tcBorders>
              <w:tl2br w:val="nil"/>
              <w:tr2bl w:val="nil"/>
            </w:tcBorders>
            <w:vAlign w:val="center"/>
          </w:tcPr>
          <w:p>
            <w:pPr>
              <w:tabs>
                <w:tab w:val="left" w:pos="2205"/>
              </w:tabs>
              <w:jc w:val="center"/>
            </w:pPr>
            <w:r>
              <w:t>/</w:t>
            </w:r>
          </w:p>
        </w:tc>
        <w:tc>
          <w:tcPr>
            <w:tcW w:w="992" w:type="dxa"/>
            <w:tcBorders>
              <w:tl2br w:val="nil"/>
              <w:tr2bl w:val="nil"/>
            </w:tcBorders>
            <w:vAlign w:val="center"/>
          </w:tcPr>
          <w:p>
            <w:pPr>
              <w:tabs>
                <w:tab w:val="left" w:pos="2205"/>
              </w:tabs>
              <w:jc w:val="center"/>
            </w:pPr>
            <w:r>
              <w:rPr>
                <w:rFonts w:hint="eastAsia"/>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9" w:type="dxa"/>
            <w:vMerge w:val="continue"/>
            <w:tcBorders>
              <w:tl2br w:val="nil"/>
              <w:tr2bl w:val="nil"/>
            </w:tcBorders>
            <w:vAlign w:val="center"/>
          </w:tcPr>
          <w:p>
            <w:pPr>
              <w:tabs>
                <w:tab w:val="left" w:pos="2205"/>
              </w:tabs>
              <w:jc w:val="center"/>
              <w:rPr>
                <w:color w:val="FF0000"/>
              </w:rPr>
            </w:pPr>
          </w:p>
        </w:tc>
        <w:tc>
          <w:tcPr>
            <w:tcW w:w="1242" w:type="dxa"/>
            <w:vMerge w:val="restart"/>
            <w:tcBorders>
              <w:tl2br w:val="nil"/>
              <w:tr2bl w:val="nil"/>
            </w:tcBorders>
            <w:vAlign w:val="center"/>
          </w:tcPr>
          <w:p>
            <w:pPr>
              <w:tabs>
                <w:tab w:val="left" w:pos="2205"/>
              </w:tabs>
              <w:jc w:val="center"/>
            </w:pPr>
            <w:r>
              <w:rPr>
                <w:rFonts w:hint="eastAsia"/>
              </w:rPr>
              <w:t>氯化氢</w:t>
            </w:r>
          </w:p>
        </w:tc>
        <w:tc>
          <w:tcPr>
            <w:tcW w:w="1276" w:type="dxa"/>
            <w:tcBorders>
              <w:tl2br w:val="nil"/>
              <w:tr2bl w:val="nil"/>
            </w:tcBorders>
            <w:vAlign w:val="center"/>
          </w:tcPr>
          <w:p>
            <w:pPr>
              <w:jc w:val="center"/>
            </w:pPr>
            <w:r>
              <w:t>废气流量</w:t>
            </w:r>
          </w:p>
        </w:tc>
        <w:tc>
          <w:tcPr>
            <w:tcW w:w="992" w:type="dxa"/>
            <w:tcBorders>
              <w:tl2br w:val="nil"/>
              <w:tr2bl w:val="nil"/>
            </w:tcBorders>
            <w:vAlign w:val="center"/>
          </w:tcPr>
          <w:p>
            <w:pPr>
              <w:tabs>
                <w:tab w:val="left" w:pos="2205"/>
              </w:tabs>
              <w:jc w:val="center"/>
            </w:pPr>
            <w:r>
              <w:t>m</w:t>
            </w:r>
            <w:r>
              <w:rPr>
                <w:vertAlign w:val="superscript"/>
              </w:rPr>
              <w:t>3</w:t>
            </w:r>
            <w:r>
              <w:t>/h</w:t>
            </w:r>
          </w:p>
        </w:tc>
        <w:tc>
          <w:tcPr>
            <w:tcW w:w="1063" w:type="dxa"/>
            <w:tcBorders>
              <w:tl2br w:val="nil"/>
              <w:tr2bl w:val="nil"/>
            </w:tcBorders>
            <w:vAlign w:val="center"/>
          </w:tcPr>
          <w:p>
            <w:pPr>
              <w:tabs>
                <w:tab w:val="left" w:pos="2205"/>
              </w:tabs>
              <w:jc w:val="center"/>
              <w:rPr>
                <w:color w:val="auto"/>
              </w:rPr>
            </w:pPr>
            <w:r>
              <w:rPr>
                <w:rFonts w:hint="eastAsia"/>
                <w:color w:val="auto"/>
              </w:rPr>
              <w:t>1721</w:t>
            </w:r>
          </w:p>
        </w:tc>
        <w:tc>
          <w:tcPr>
            <w:tcW w:w="1063" w:type="dxa"/>
            <w:tcBorders>
              <w:tl2br w:val="nil"/>
              <w:tr2bl w:val="nil"/>
            </w:tcBorders>
            <w:vAlign w:val="center"/>
          </w:tcPr>
          <w:p>
            <w:pPr>
              <w:tabs>
                <w:tab w:val="left" w:pos="2205"/>
              </w:tabs>
              <w:jc w:val="center"/>
              <w:rPr>
                <w:color w:val="auto"/>
              </w:rPr>
            </w:pPr>
            <w:r>
              <w:rPr>
                <w:rFonts w:hint="eastAsia"/>
                <w:color w:val="auto"/>
              </w:rPr>
              <w:t>1579</w:t>
            </w:r>
          </w:p>
        </w:tc>
        <w:tc>
          <w:tcPr>
            <w:tcW w:w="1063" w:type="dxa"/>
            <w:tcBorders>
              <w:tl2br w:val="nil"/>
              <w:tr2bl w:val="nil"/>
            </w:tcBorders>
            <w:vAlign w:val="center"/>
          </w:tcPr>
          <w:p>
            <w:pPr>
              <w:tabs>
                <w:tab w:val="left" w:pos="2205"/>
              </w:tabs>
              <w:jc w:val="center"/>
              <w:rPr>
                <w:color w:val="auto"/>
              </w:rPr>
            </w:pPr>
            <w:r>
              <w:rPr>
                <w:rFonts w:hint="eastAsia"/>
                <w:color w:val="auto"/>
              </w:rPr>
              <w:t>1559</w:t>
            </w:r>
          </w:p>
        </w:tc>
        <w:tc>
          <w:tcPr>
            <w:tcW w:w="1063" w:type="dxa"/>
            <w:tcBorders>
              <w:tl2br w:val="nil"/>
              <w:tr2bl w:val="nil"/>
            </w:tcBorders>
            <w:vAlign w:val="center"/>
          </w:tcPr>
          <w:p>
            <w:pPr>
              <w:tabs>
                <w:tab w:val="left" w:pos="2205"/>
              </w:tabs>
              <w:jc w:val="center"/>
              <w:rPr>
                <w:color w:val="auto"/>
              </w:rPr>
            </w:pPr>
            <w:r>
              <w:rPr>
                <w:rFonts w:hint="eastAsia"/>
                <w:color w:val="auto"/>
              </w:rPr>
              <w:t>1721</w:t>
            </w:r>
          </w:p>
        </w:tc>
        <w:tc>
          <w:tcPr>
            <w:tcW w:w="1063" w:type="dxa"/>
            <w:tcBorders>
              <w:tl2br w:val="nil"/>
              <w:tr2bl w:val="nil"/>
            </w:tcBorders>
            <w:vAlign w:val="center"/>
          </w:tcPr>
          <w:p>
            <w:pPr>
              <w:tabs>
                <w:tab w:val="left" w:pos="2205"/>
              </w:tabs>
              <w:jc w:val="center"/>
              <w:rPr>
                <w:color w:val="auto"/>
                <w:szCs w:val="24"/>
              </w:rPr>
            </w:pPr>
            <w:r>
              <w:rPr>
                <w:rFonts w:hint="eastAsia"/>
                <w:color w:val="auto"/>
              </w:rPr>
              <w:t>1825</w:t>
            </w:r>
          </w:p>
        </w:tc>
        <w:tc>
          <w:tcPr>
            <w:tcW w:w="1063" w:type="dxa"/>
            <w:tcBorders>
              <w:tl2br w:val="nil"/>
              <w:tr2bl w:val="nil"/>
            </w:tcBorders>
            <w:vAlign w:val="center"/>
          </w:tcPr>
          <w:p>
            <w:pPr>
              <w:tabs>
                <w:tab w:val="left" w:pos="2205"/>
              </w:tabs>
              <w:jc w:val="center"/>
              <w:rPr>
                <w:color w:val="auto"/>
                <w:szCs w:val="24"/>
              </w:rPr>
            </w:pPr>
            <w:r>
              <w:rPr>
                <w:rFonts w:hint="eastAsia"/>
                <w:color w:val="auto"/>
              </w:rPr>
              <w:t>1493</w:t>
            </w:r>
          </w:p>
        </w:tc>
        <w:tc>
          <w:tcPr>
            <w:tcW w:w="1063" w:type="dxa"/>
            <w:tcBorders>
              <w:tl2br w:val="nil"/>
              <w:tr2bl w:val="nil"/>
            </w:tcBorders>
            <w:vAlign w:val="center"/>
          </w:tcPr>
          <w:p>
            <w:pPr>
              <w:tabs>
                <w:tab w:val="left" w:pos="2205"/>
              </w:tabs>
              <w:jc w:val="center"/>
              <w:rPr>
                <w:color w:val="auto"/>
                <w:szCs w:val="24"/>
              </w:rPr>
            </w:pPr>
            <w:r>
              <w:rPr>
                <w:rFonts w:hint="eastAsia"/>
                <w:color w:val="auto"/>
              </w:rPr>
              <w:t>1369</w:t>
            </w:r>
          </w:p>
        </w:tc>
        <w:tc>
          <w:tcPr>
            <w:tcW w:w="1064" w:type="dxa"/>
            <w:tcBorders>
              <w:tl2br w:val="nil"/>
              <w:tr2bl w:val="nil"/>
            </w:tcBorders>
            <w:vAlign w:val="center"/>
          </w:tcPr>
          <w:p>
            <w:pPr>
              <w:tabs>
                <w:tab w:val="left" w:pos="2205"/>
              </w:tabs>
              <w:jc w:val="center"/>
              <w:rPr>
                <w:color w:val="auto"/>
                <w:szCs w:val="24"/>
              </w:rPr>
            </w:pPr>
            <w:r>
              <w:rPr>
                <w:rFonts w:hint="eastAsia"/>
                <w:color w:val="auto"/>
              </w:rPr>
              <w:t>1825</w:t>
            </w:r>
          </w:p>
        </w:tc>
        <w:tc>
          <w:tcPr>
            <w:tcW w:w="851" w:type="dxa"/>
            <w:tcBorders>
              <w:tl2br w:val="nil"/>
              <w:tr2bl w:val="nil"/>
            </w:tcBorders>
            <w:vAlign w:val="center"/>
          </w:tcPr>
          <w:p>
            <w:pPr>
              <w:tabs>
                <w:tab w:val="left" w:pos="2205"/>
              </w:tabs>
              <w:jc w:val="center"/>
            </w:pPr>
            <w:r>
              <w:rPr>
                <w:rFonts w:hint="eastAsia"/>
              </w:rPr>
              <w:t>/</w:t>
            </w:r>
          </w:p>
        </w:tc>
        <w:tc>
          <w:tcPr>
            <w:tcW w:w="992" w:type="dxa"/>
            <w:tcBorders>
              <w:tl2br w:val="nil"/>
              <w:tr2bl w:val="nil"/>
            </w:tcBorders>
            <w:vAlign w:val="center"/>
          </w:tcPr>
          <w:p>
            <w:pPr>
              <w:tabs>
                <w:tab w:val="left" w:pos="2205"/>
              </w:tabs>
              <w:jc w:val="center"/>
            </w:pPr>
            <w:r>
              <w:rPr>
                <w:rFonts w:hint="eastAsia"/>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9" w:type="dxa"/>
            <w:vMerge w:val="continue"/>
            <w:tcBorders>
              <w:tl2br w:val="nil"/>
              <w:tr2bl w:val="nil"/>
            </w:tcBorders>
            <w:vAlign w:val="center"/>
          </w:tcPr>
          <w:p>
            <w:pPr>
              <w:tabs>
                <w:tab w:val="left" w:pos="2205"/>
              </w:tabs>
              <w:jc w:val="center"/>
              <w:rPr>
                <w:color w:val="FF0000"/>
              </w:rPr>
            </w:pPr>
          </w:p>
        </w:tc>
        <w:tc>
          <w:tcPr>
            <w:tcW w:w="1242" w:type="dxa"/>
            <w:vMerge w:val="continue"/>
            <w:tcBorders>
              <w:tl2br w:val="nil"/>
              <w:tr2bl w:val="nil"/>
            </w:tcBorders>
            <w:vAlign w:val="center"/>
          </w:tcPr>
          <w:p>
            <w:pPr>
              <w:tabs>
                <w:tab w:val="left" w:pos="2205"/>
              </w:tabs>
              <w:jc w:val="center"/>
            </w:pPr>
          </w:p>
        </w:tc>
        <w:tc>
          <w:tcPr>
            <w:tcW w:w="1276" w:type="dxa"/>
            <w:tcBorders>
              <w:tl2br w:val="nil"/>
              <w:tr2bl w:val="nil"/>
            </w:tcBorders>
            <w:vAlign w:val="center"/>
          </w:tcPr>
          <w:p>
            <w:pPr>
              <w:spacing w:line="240" w:lineRule="exact"/>
              <w:jc w:val="center"/>
            </w:pPr>
            <w:r>
              <w:t>实测浓度</w:t>
            </w:r>
          </w:p>
        </w:tc>
        <w:tc>
          <w:tcPr>
            <w:tcW w:w="992" w:type="dxa"/>
            <w:tcBorders>
              <w:tl2br w:val="nil"/>
              <w:tr2bl w:val="nil"/>
            </w:tcBorders>
            <w:vAlign w:val="center"/>
          </w:tcPr>
          <w:p>
            <w:pPr>
              <w:spacing w:line="240" w:lineRule="exact"/>
              <w:jc w:val="center"/>
            </w:pPr>
            <w:r>
              <w:t>mg/m</w:t>
            </w:r>
            <w:r>
              <w:rPr>
                <w:vertAlign w:val="superscript"/>
              </w:rPr>
              <w:t>3</w:t>
            </w:r>
          </w:p>
        </w:tc>
        <w:tc>
          <w:tcPr>
            <w:tcW w:w="1063" w:type="dxa"/>
            <w:tcBorders>
              <w:tl2br w:val="nil"/>
              <w:tr2bl w:val="nil"/>
            </w:tcBorders>
            <w:vAlign w:val="center"/>
          </w:tcPr>
          <w:p>
            <w:pPr>
              <w:tabs>
                <w:tab w:val="left" w:pos="2205"/>
              </w:tabs>
              <w:jc w:val="center"/>
              <w:rPr>
                <w:color w:val="auto"/>
              </w:rPr>
            </w:pPr>
            <w:r>
              <w:rPr>
                <w:rFonts w:hint="eastAsia"/>
                <w:color w:val="auto"/>
              </w:rPr>
              <w:t>15.1</w:t>
            </w:r>
          </w:p>
        </w:tc>
        <w:tc>
          <w:tcPr>
            <w:tcW w:w="1063" w:type="dxa"/>
            <w:tcBorders>
              <w:tl2br w:val="nil"/>
              <w:tr2bl w:val="nil"/>
            </w:tcBorders>
            <w:vAlign w:val="center"/>
          </w:tcPr>
          <w:p>
            <w:pPr>
              <w:tabs>
                <w:tab w:val="left" w:pos="2205"/>
              </w:tabs>
              <w:jc w:val="center"/>
              <w:rPr>
                <w:color w:val="auto"/>
              </w:rPr>
            </w:pPr>
            <w:r>
              <w:rPr>
                <w:rFonts w:hint="eastAsia"/>
                <w:color w:val="auto"/>
              </w:rPr>
              <w:t>14.3</w:t>
            </w:r>
          </w:p>
        </w:tc>
        <w:tc>
          <w:tcPr>
            <w:tcW w:w="1063" w:type="dxa"/>
            <w:tcBorders>
              <w:tl2br w:val="nil"/>
              <w:tr2bl w:val="nil"/>
            </w:tcBorders>
            <w:vAlign w:val="center"/>
          </w:tcPr>
          <w:p>
            <w:pPr>
              <w:tabs>
                <w:tab w:val="left" w:pos="2205"/>
              </w:tabs>
              <w:jc w:val="center"/>
              <w:rPr>
                <w:color w:val="auto"/>
              </w:rPr>
            </w:pPr>
            <w:r>
              <w:rPr>
                <w:rFonts w:hint="eastAsia"/>
                <w:color w:val="auto"/>
              </w:rPr>
              <w:t>21.1</w:t>
            </w:r>
          </w:p>
        </w:tc>
        <w:tc>
          <w:tcPr>
            <w:tcW w:w="1063" w:type="dxa"/>
            <w:tcBorders>
              <w:tl2br w:val="nil"/>
              <w:tr2bl w:val="nil"/>
            </w:tcBorders>
            <w:vAlign w:val="center"/>
          </w:tcPr>
          <w:p>
            <w:pPr>
              <w:tabs>
                <w:tab w:val="left" w:pos="2205"/>
              </w:tabs>
              <w:jc w:val="center"/>
              <w:rPr>
                <w:color w:val="auto"/>
              </w:rPr>
            </w:pPr>
            <w:r>
              <w:rPr>
                <w:rFonts w:hint="eastAsia"/>
                <w:color w:val="auto"/>
              </w:rPr>
              <w:t>21.1</w:t>
            </w:r>
          </w:p>
        </w:tc>
        <w:tc>
          <w:tcPr>
            <w:tcW w:w="1063" w:type="dxa"/>
            <w:tcBorders>
              <w:tl2br w:val="nil"/>
              <w:tr2bl w:val="nil"/>
            </w:tcBorders>
            <w:vAlign w:val="center"/>
          </w:tcPr>
          <w:p>
            <w:pPr>
              <w:tabs>
                <w:tab w:val="left" w:pos="2205"/>
              </w:tabs>
              <w:jc w:val="center"/>
              <w:rPr>
                <w:color w:val="auto"/>
              </w:rPr>
            </w:pPr>
            <w:r>
              <w:rPr>
                <w:rFonts w:hint="eastAsia"/>
                <w:color w:val="auto"/>
              </w:rPr>
              <w:t>24.5</w:t>
            </w:r>
          </w:p>
        </w:tc>
        <w:tc>
          <w:tcPr>
            <w:tcW w:w="1063" w:type="dxa"/>
            <w:tcBorders>
              <w:tl2br w:val="nil"/>
              <w:tr2bl w:val="nil"/>
            </w:tcBorders>
            <w:vAlign w:val="center"/>
          </w:tcPr>
          <w:p>
            <w:pPr>
              <w:tabs>
                <w:tab w:val="left" w:pos="2205"/>
              </w:tabs>
              <w:jc w:val="center"/>
              <w:rPr>
                <w:color w:val="auto"/>
              </w:rPr>
            </w:pPr>
            <w:r>
              <w:rPr>
                <w:rFonts w:hint="eastAsia"/>
                <w:color w:val="auto"/>
              </w:rPr>
              <w:t>21.7</w:t>
            </w:r>
          </w:p>
        </w:tc>
        <w:tc>
          <w:tcPr>
            <w:tcW w:w="1063" w:type="dxa"/>
            <w:tcBorders>
              <w:tl2br w:val="nil"/>
              <w:tr2bl w:val="nil"/>
            </w:tcBorders>
            <w:vAlign w:val="center"/>
          </w:tcPr>
          <w:p>
            <w:pPr>
              <w:tabs>
                <w:tab w:val="left" w:pos="2205"/>
              </w:tabs>
              <w:jc w:val="center"/>
              <w:rPr>
                <w:color w:val="auto"/>
              </w:rPr>
            </w:pPr>
            <w:r>
              <w:rPr>
                <w:rFonts w:hint="eastAsia"/>
                <w:color w:val="auto"/>
              </w:rPr>
              <w:t>21.1</w:t>
            </w:r>
          </w:p>
        </w:tc>
        <w:tc>
          <w:tcPr>
            <w:tcW w:w="1064" w:type="dxa"/>
            <w:tcBorders>
              <w:tl2br w:val="nil"/>
              <w:tr2bl w:val="nil"/>
            </w:tcBorders>
            <w:vAlign w:val="center"/>
          </w:tcPr>
          <w:p>
            <w:pPr>
              <w:tabs>
                <w:tab w:val="left" w:pos="2205"/>
              </w:tabs>
              <w:jc w:val="center"/>
              <w:rPr>
                <w:color w:val="auto"/>
              </w:rPr>
            </w:pPr>
            <w:r>
              <w:rPr>
                <w:rFonts w:hint="eastAsia"/>
                <w:color w:val="auto"/>
              </w:rPr>
              <w:t>24.5</w:t>
            </w:r>
          </w:p>
        </w:tc>
        <w:tc>
          <w:tcPr>
            <w:tcW w:w="851" w:type="dxa"/>
            <w:tcBorders>
              <w:tl2br w:val="nil"/>
              <w:tr2bl w:val="nil"/>
            </w:tcBorders>
            <w:vAlign w:val="center"/>
          </w:tcPr>
          <w:p>
            <w:pPr>
              <w:tabs>
                <w:tab w:val="left" w:pos="2205"/>
              </w:tabs>
              <w:jc w:val="center"/>
            </w:pPr>
            <w:r>
              <w:t>/</w:t>
            </w:r>
          </w:p>
        </w:tc>
        <w:tc>
          <w:tcPr>
            <w:tcW w:w="992" w:type="dxa"/>
            <w:tcBorders>
              <w:tl2br w:val="nil"/>
              <w:tr2bl w:val="nil"/>
            </w:tcBorders>
            <w:vAlign w:val="center"/>
          </w:tcPr>
          <w:p>
            <w:pPr>
              <w:tabs>
                <w:tab w:val="left" w:pos="2205"/>
              </w:tabs>
              <w:jc w:val="center"/>
            </w:pPr>
            <w:r>
              <w:rPr>
                <w:rFonts w:hint="eastAsia"/>
              </w:rPr>
              <w:t>30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4" w:hRule="exact"/>
          <w:jc w:val="center"/>
        </w:trPr>
        <w:tc>
          <w:tcPr>
            <w:tcW w:w="709" w:type="dxa"/>
            <w:vMerge w:val="continue"/>
            <w:tcBorders>
              <w:tl2br w:val="nil"/>
              <w:tr2bl w:val="nil"/>
            </w:tcBorders>
            <w:vAlign w:val="center"/>
          </w:tcPr>
          <w:p>
            <w:pPr>
              <w:tabs>
                <w:tab w:val="left" w:pos="2205"/>
              </w:tabs>
              <w:jc w:val="center"/>
              <w:rPr>
                <w:color w:val="FF0000"/>
              </w:rPr>
            </w:pPr>
          </w:p>
        </w:tc>
        <w:tc>
          <w:tcPr>
            <w:tcW w:w="1242" w:type="dxa"/>
            <w:vMerge w:val="continue"/>
            <w:tcBorders>
              <w:tl2br w:val="nil"/>
              <w:tr2bl w:val="nil"/>
            </w:tcBorders>
            <w:vAlign w:val="center"/>
          </w:tcPr>
          <w:p>
            <w:pPr>
              <w:tabs>
                <w:tab w:val="left" w:pos="2205"/>
              </w:tabs>
              <w:jc w:val="center"/>
            </w:pPr>
          </w:p>
        </w:tc>
        <w:tc>
          <w:tcPr>
            <w:tcW w:w="1276" w:type="dxa"/>
            <w:tcBorders>
              <w:tl2br w:val="nil"/>
              <w:tr2bl w:val="nil"/>
            </w:tcBorders>
            <w:vAlign w:val="center"/>
          </w:tcPr>
          <w:p>
            <w:pPr>
              <w:tabs>
                <w:tab w:val="left" w:pos="2205"/>
              </w:tabs>
              <w:jc w:val="center"/>
            </w:pPr>
            <w:r>
              <w:t>排放速率</w:t>
            </w:r>
          </w:p>
        </w:tc>
        <w:tc>
          <w:tcPr>
            <w:tcW w:w="992" w:type="dxa"/>
            <w:tcBorders>
              <w:tl2br w:val="nil"/>
              <w:tr2bl w:val="nil"/>
            </w:tcBorders>
            <w:vAlign w:val="center"/>
          </w:tcPr>
          <w:p>
            <w:pPr>
              <w:tabs>
                <w:tab w:val="left" w:pos="2205"/>
              </w:tabs>
              <w:jc w:val="center"/>
            </w:pPr>
            <w:r>
              <w:t>kg/h</w:t>
            </w:r>
          </w:p>
        </w:tc>
        <w:tc>
          <w:tcPr>
            <w:tcW w:w="1063" w:type="dxa"/>
            <w:tcBorders>
              <w:tl2br w:val="nil"/>
              <w:tr2bl w:val="nil"/>
            </w:tcBorders>
            <w:vAlign w:val="center"/>
          </w:tcPr>
          <w:p>
            <w:pPr>
              <w:tabs>
                <w:tab w:val="left" w:pos="2205"/>
              </w:tabs>
              <w:jc w:val="center"/>
              <w:rPr>
                <w:color w:val="auto"/>
              </w:rPr>
            </w:pPr>
            <w:r>
              <w:rPr>
                <w:color w:val="auto"/>
                <w:szCs w:val="24"/>
              </w:rPr>
              <w:t>0.0260</w:t>
            </w:r>
          </w:p>
        </w:tc>
        <w:tc>
          <w:tcPr>
            <w:tcW w:w="1063" w:type="dxa"/>
            <w:tcBorders>
              <w:tl2br w:val="nil"/>
              <w:tr2bl w:val="nil"/>
            </w:tcBorders>
            <w:vAlign w:val="center"/>
          </w:tcPr>
          <w:p>
            <w:pPr>
              <w:tabs>
                <w:tab w:val="left" w:pos="2205"/>
              </w:tabs>
              <w:jc w:val="center"/>
              <w:rPr>
                <w:color w:val="auto"/>
              </w:rPr>
            </w:pPr>
            <w:r>
              <w:rPr>
                <w:color w:val="auto"/>
                <w:szCs w:val="24"/>
              </w:rPr>
              <w:t>0.0226</w:t>
            </w:r>
          </w:p>
        </w:tc>
        <w:tc>
          <w:tcPr>
            <w:tcW w:w="1063" w:type="dxa"/>
            <w:tcBorders>
              <w:tl2br w:val="nil"/>
              <w:tr2bl w:val="nil"/>
            </w:tcBorders>
            <w:vAlign w:val="center"/>
          </w:tcPr>
          <w:p>
            <w:pPr>
              <w:tabs>
                <w:tab w:val="left" w:pos="2205"/>
              </w:tabs>
              <w:jc w:val="center"/>
              <w:rPr>
                <w:color w:val="auto"/>
              </w:rPr>
            </w:pPr>
            <w:r>
              <w:rPr>
                <w:color w:val="auto"/>
                <w:szCs w:val="24"/>
              </w:rPr>
              <w:t>0.0329</w:t>
            </w:r>
          </w:p>
        </w:tc>
        <w:tc>
          <w:tcPr>
            <w:tcW w:w="1063" w:type="dxa"/>
            <w:tcBorders>
              <w:tl2br w:val="nil"/>
              <w:tr2bl w:val="nil"/>
            </w:tcBorders>
            <w:vAlign w:val="center"/>
          </w:tcPr>
          <w:p>
            <w:pPr>
              <w:tabs>
                <w:tab w:val="left" w:pos="2205"/>
              </w:tabs>
              <w:jc w:val="center"/>
              <w:rPr>
                <w:color w:val="auto"/>
              </w:rPr>
            </w:pPr>
            <w:r>
              <w:rPr>
                <w:color w:val="auto"/>
                <w:szCs w:val="24"/>
              </w:rPr>
              <w:t>0.0329</w:t>
            </w:r>
          </w:p>
        </w:tc>
        <w:tc>
          <w:tcPr>
            <w:tcW w:w="1063" w:type="dxa"/>
            <w:tcBorders>
              <w:tl2br w:val="nil"/>
              <w:tr2bl w:val="nil"/>
            </w:tcBorders>
            <w:vAlign w:val="center"/>
          </w:tcPr>
          <w:p>
            <w:pPr>
              <w:tabs>
                <w:tab w:val="left" w:pos="2205"/>
              </w:tabs>
              <w:jc w:val="center"/>
              <w:rPr>
                <w:color w:val="auto"/>
              </w:rPr>
            </w:pPr>
            <w:r>
              <w:rPr>
                <w:color w:val="auto"/>
                <w:szCs w:val="24"/>
              </w:rPr>
              <w:t>0.0447</w:t>
            </w:r>
          </w:p>
        </w:tc>
        <w:tc>
          <w:tcPr>
            <w:tcW w:w="1063" w:type="dxa"/>
            <w:tcBorders>
              <w:tl2br w:val="nil"/>
              <w:tr2bl w:val="nil"/>
            </w:tcBorders>
            <w:vAlign w:val="center"/>
          </w:tcPr>
          <w:p>
            <w:pPr>
              <w:tabs>
                <w:tab w:val="left" w:pos="2205"/>
              </w:tabs>
              <w:jc w:val="center"/>
              <w:rPr>
                <w:color w:val="auto"/>
              </w:rPr>
            </w:pPr>
            <w:r>
              <w:rPr>
                <w:color w:val="auto"/>
                <w:szCs w:val="24"/>
              </w:rPr>
              <w:t>0.0324</w:t>
            </w:r>
          </w:p>
        </w:tc>
        <w:tc>
          <w:tcPr>
            <w:tcW w:w="1063" w:type="dxa"/>
            <w:tcBorders>
              <w:tl2br w:val="nil"/>
              <w:tr2bl w:val="nil"/>
            </w:tcBorders>
            <w:vAlign w:val="center"/>
          </w:tcPr>
          <w:p>
            <w:pPr>
              <w:tabs>
                <w:tab w:val="left" w:pos="2205"/>
              </w:tabs>
              <w:jc w:val="center"/>
              <w:rPr>
                <w:color w:val="auto"/>
              </w:rPr>
            </w:pPr>
            <w:r>
              <w:rPr>
                <w:rFonts w:hint="eastAsia"/>
                <w:color w:val="auto"/>
              </w:rPr>
              <w:t>0.0289</w:t>
            </w:r>
          </w:p>
        </w:tc>
        <w:tc>
          <w:tcPr>
            <w:tcW w:w="1064" w:type="dxa"/>
            <w:tcBorders>
              <w:tl2br w:val="nil"/>
              <w:tr2bl w:val="nil"/>
            </w:tcBorders>
            <w:vAlign w:val="center"/>
          </w:tcPr>
          <w:p>
            <w:pPr>
              <w:tabs>
                <w:tab w:val="left" w:pos="2205"/>
              </w:tabs>
              <w:jc w:val="center"/>
              <w:rPr>
                <w:color w:val="auto"/>
              </w:rPr>
            </w:pPr>
            <w:r>
              <w:rPr>
                <w:rFonts w:hint="eastAsia"/>
                <w:color w:val="auto"/>
              </w:rPr>
              <w:t>0.0447</w:t>
            </w:r>
          </w:p>
        </w:tc>
        <w:tc>
          <w:tcPr>
            <w:tcW w:w="851" w:type="dxa"/>
            <w:tcBorders>
              <w:tl2br w:val="nil"/>
              <w:tr2bl w:val="nil"/>
            </w:tcBorders>
            <w:vAlign w:val="center"/>
          </w:tcPr>
          <w:p>
            <w:pPr>
              <w:tabs>
                <w:tab w:val="left" w:pos="2205"/>
              </w:tabs>
              <w:jc w:val="center"/>
            </w:pPr>
            <w:r>
              <w:t>/</w:t>
            </w:r>
          </w:p>
        </w:tc>
        <w:tc>
          <w:tcPr>
            <w:tcW w:w="992" w:type="dxa"/>
            <w:tcBorders>
              <w:tl2br w:val="nil"/>
              <w:tr2bl w:val="nil"/>
            </w:tcBorders>
            <w:vAlign w:val="center"/>
          </w:tcPr>
          <w:p>
            <w:pPr>
              <w:tabs>
                <w:tab w:val="left" w:pos="2205"/>
              </w:tabs>
              <w:jc w:val="center"/>
            </w:pPr>
            <w:r>
              <w:rPr>
                <w:rFonts w:hint="eastAsia"/>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9" w:type="dxa"/>
            <w:vMerge w:val="continue"/>
            <w:tcBorders>
              <w:tl2br w:val="nil"/>
              <w:tr2bl w:val="nil"/>
            </w:tcBorders>
            <w:vAlign w:val="center"/>
          </w:tcPr>
          <w:p>
            <w:pPr>
              <w:tabs>
                <w:tab w:val="left" w:pos="2205"/>
              </w:tabs>
              <w:jc w:val="center"/>
              <w:rPr>
                <w:color w:val="FF0000"/>
              </w:rPr>
            </w:pPr>
          </w:p>
        </w:tc>
        <w:tc>
          <w:tcPr>
            <w:tcW w:w="1242" w:type="dxa"/>
            <w:vMerge w:val="restart"/>
            <w:tcBorders>
              <w:tl2br w:val="nil"/>
              <w:tr2bl w:val="nil"/>
            </w:tcBorders>
            <w:vAlign w:val="center"/>
          </w:tcPr>
          <w:p>
            <w:pPr>
              <w:tabs>
                <w:tab w:val="left" w:pos="2205"/>
              </w:tabs>
              <w:jc w:val="center"/>
            </w:pPr>
            <w:r>
              <w:rPr>
                <w:szCs w:val="24"/>
              </w:rPr>
              <w:t>VOCs（以非甲烷总烃计）</w:t>
            </w:r>
          </w:p>
        </w:tc>
        <w:tc>
          <w:tcPr>
            <w:tcW w:w="1276" w:type="dxa"/>
            <w:tcBorders>
              <w:tl2br w:val="nil"/>
              <w:tr2bl w:val="nil"/>
            </w:tcBorders>
            <w:vAlign w:val="center"/>
          </w:tcPr>
          <w:p>
            <w:pPr>
              <w:jc w:val="center"/>
            </w:pPr>
            <w:r>
              <w:t>废气流量</w:t>
            </w:r>
          </w:p>
        </w:tc>
        <w:tc>
          <w:tcPr>
            <w:tcW w:w="992" w:type="dxa"/>
            <w:tcBorders>
              <w:tl2br w:val="nil"/>
              <w:tr2bl w:val="nil"/>
            </w:tcBorders>
            <w:vAlign w:val="center"/>
          </w:tcPr>
          <w:p>
            <w:pPr>
              <w:tabs>
                <w:tab w:val="left" w:pos="2205"/>
              </w:tabs>
              <w:jc w:val="center"/>
            </w:pPr>
            <w:r>
              <w:t>m</w:t>
            </w:r>
            <w:r>
              <w:rPr>
                <w:vertAlign w:val="superscript"/>
              </w:rPr>
              <w:t>3</w:t>
            </w:r>
            <w:r>
              <w:t>/h</w:t>
            </w:r>
          </w:p>
        </w:tc>
        <w:tc>
          <w:tcPr>
            <w:tcW w:w="1063" w:type="dxa"/>
            <w:tcBorders>
              <w:tl2br w:val="nil"/>
              <w:tr2bl w:val="nil"/>
            </w:tcBorders>
            <w:vAlign w:val="center"/>
          </w:tcPr>
          <w:p>
            <w:pPr>
              <w:tabs>
                <w:tab w:val="left" w:pos="2205"/>
              </w:tabs>
              <w:jc w:val="center"/>
              <w:rPr>
                <w:color w:val="auto"/>
              </w:rPr>
            </w:pPr>
            <w:r>
              <w:rPr>
                <w:rFonts w:hint="eastAsia"/>
                <w:color w:val="auto"/>
              </w:rPr>
              <w:t>1765</w:t>
            </w:r>
          </w:p>
        </w:tc>
        <w:tc>
          <w:tcPr>
            <w:tcW w:w="1063" w:type="dxa"/>
            <w:tcBorders>
              <w:tl2br w:val="nil"/>
              <w:tr2bl w:val="nil"/>
            </w:tcBorders>
            <w:vAlign w:val="center"/>
          </w:tcPr>
          <w:p>
            <w:pPr>
              <w:tabs>
                <w:tab w:val="left" w:pos="2205"/>
              </w:tabs>
              <w:jc w:val="center"/>
              <w:rPr>
                <w:color w:val="auto"/>
              </w:rPr>
            </w:pPr>
            <w:r>
              <w:rPr>
                <w:rFonts w:hint="eastAsia"/>
                <w:color w:val="auto"/>
              </w:rPr>
              <w:t>1738</w:t>
            </w:r>
          </w:p>
        </w:tc>
        <w:tc>
          <w:tcPr>
            <w:tcW w:w="1063" w:type="dxa"/>
            <w:tcBorders>
              <w:tl2br w:val="nil"/>
              <w:tr2bl w:val="nil"/>
            </w:tcBorders>
            <w:vAlign w:val="center"/>
          </w:tcPr>
          <w:p>
            <w:pPr>
              <w:tabs>
                <w:tab w:val="left" w:pos="2205"/>
              </w:tabs>
              <w:jc w:val="center"/>
              <w:rPr>
                <w:color w:val="auto"/>
              </w:rPr>
            </w:pPr>
            <w:r>
              <w:rPr>
                <w:rFonts w:hint="eastAsia"/>
                <w:color w:val="auto"/>
              </w:rPr>
              <w:t>1755</w:t>
            </w:r>
          </w:p>
        </w:tc>
        <w:tc>
          <w:tcPr>
            <w:tcW w:w="1063" w:type="dxa"/>
            <w:tcBorders>
              <w:tl2br w:val="nil"/>
              <w:tr2bl w:val="nil"/>
            </w:tcBorders>
            <w:vAlign w:val="center"/>
          </w:tcPr>
          <w:p>
            <w:pPr>
              <w:tabs>
                <w:tab w:val="left" w:pos="2205"/>
              </w:tabs>
              <w:jc w:val="center"/>
              <w:rPr>
                <w:color w:val="auto"/>
                <w:szCs w:val="24"/>
              </w:rPr>
            </w:pPr>
            <w:r>
              <w:rPr>
                <w:rFonts w:hint="eastAsia"/>
                <w:color w:val="auto"/>
                <w:szCs w:val="24"/>
              </w:rPr>
              <w:t>1765</w:t>
            </w:r>
          </w:p>
        </w:tc>
        <w:tc>
          <w:tcPr>
            <w:tcW w:w="1063" w:type="dxa"/>
            <w:tcBorders>
              <w:tl2br w:val="nil"/>
              <w:tr2bl w:val="nil"/>
            </w:tcBorders>
            <w:vAlign w:val="center"/>
          </w:tcPr>
          <w:p>
            <w:pPr>
              <w:tabs>
                <w:tab w:val="left" w:pos="2205"/>
              </w:tabs>
              <w:jc w:val="center"/>
              <w:rPr>
                <w:color w:val="auto"/>
                <w:szCs w:val="24"/>
              </w:rPr>
            </w:pPr>
            <w:r>
              <w:rPr>
                <w:color w:val="auto"/>
                <w:szCs w:val="24"/>
              </w:rPr>
              <w:t>1713</w:t>
            </w:r>
          </w:p>
        </w:tc>
        <w:tc>
          <w:tcPr>
            <w:tcW w:w="1063" w:type="dxa"/>
            <w:tcBorders>
              <w:tl2br w:val="nil"/>
              <w:tr2bl w:val="nil"/>
            </w:tcBorders>
            <w:vAlign w:val="center"/>
          </w:tcPr>
          <w:p>
            <w:pPr>
              <w:tabs>
                <w:tab w:val="left" w:pos="2205"/>
              </w:tabs>
              <w:jc w:val="center"/>
              <w:rPr>
                <w:color w:val="auto"/>
                <w:szCs w:val="24"/>
              </w:rPr>
            </w:pPr>
            <w:r>
              <w:rPr>
                <w:color w:val="auto"/>
                <w:szCs w:val="24"/>
              </w:rPr>
              <w:t>1593</w:t>
            </w:r>
          </w:p>
        </w:tc>
        <w:tc>
          <w:tcPr>
            <w:tcW w:w="1063" w:type="dxa"/>
            <w:tcBorders>
              <w:tl2br w:val="nil"/>
              <w:tr2bl w:val="nil"/>
            </w:tcBorders>
            <w:vAlign w:val="center"/>
          </w:tcPr>
          <w:p>
            <w:pPr>
              <w:tabs>
                <w:tab w:val="left" w:pos="2205"/>
              </w:tabs>
              <w:jc w:val="center"/>
              <w:rPr>
                <w:color w:val="auto"/>
                <w:szCs w:val="24"/>
              </w:rPr>
            </w:pPr>
            <w:r>
              <w:rPr>
                <w:color w:val="auto"/>
                <w:szCs w:val="24"/>
              </w:rPr>
              <w:t>1387</w:t>
            </w:r>
          </w:p>
        </w:tc>
        <w:tc>
          <w:tcPr>
            <w:tcW w:w="1064" w:type="dxa"/>
            <w:tcBorders>
              <w:tl2br w:val="nil"/>
              <w:tr2bl w:val="nil"/>
            </w:tcBorders>
            <w:vAlign w:val="center"/>
          </w:tcPr>
          <w:p>
            <w:pPr>
              <w:tabs>
                <w:tab w:val="left" w:pos="2205"/>
              </w:tabs>
              <w:jc w:val="center"/>
              <w:rPr>
                <w:color w:val="auto"/>
                <w:szCs w:val="24"/>
              </w:rPr>
            </w:pPr>
            <w:r>
              <w:rPr>
                <w:rFonts w:hint="eastAsia"/>
                <w:color w:val="auto"/>
                <w:szCs w:val="24"/>
              </w:rPr>
              <w:t>1713</w:t>
            </w:r>
          </w:p>
        </w:tc>
        <w:tc>
          <w:tcPr>
            <w:tcW w:w="851" w:type="dxa"/>
            <w:tcBorders>
              <w:tl2br w:val="nil"/>
              <w:tr2bl w:val="nil"/>
            </w:tcBorders>
            <w:vAlign w:val="center"/>
          </w:tcPr>
          <w:p>
            <w:pPr>
              <w:tabs>
                <w:tab w:val="left" w:pos="2205"/>
              </w:tabs>
              <w:jc w:val="center"/>
            </w:pPr>
            <w:r>
              <w:rPr>
                <w:rFonts w:hint="eastAsia"/>
              </w:rPr>
              <w:t>/</w:t>
            </w:r>
          </w:p>
        </w:tc>
        <w:tc>
          <w:tcPr>
            <w:tcW w:w="992" w:type="dxa"/>
            <w:tcBorders>
              <w:tl2br w:val="nil"/>
              <w:tr2bl w:val="nil"/>
            </w:tcBorders>
            <w:vAlign w:val="center"/>
          </w:tcPr>
          <w:p>
            <w:pPr>
              <w:tabs>
                <w:tab w:val="left" w:pos="2205"/>
              </w:tabs>
              <w:jc w:val="center"/>
            </w:pPr>
            <w:r>
              <w:rPr>
                <w:rFonts w:hint="eastAsia"/>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9" w:type="dxa"/>
            <w:vMerge w:val="continue"/>
            <w:tcBorders>
              <w:tl2br w:val="nil"/>
              <w:tr2bl w:val="nil"/>
            </w:tcBorders>
            <w:vAlign w:val="center"/>
          </w:tcPr>
          <w:p>
            <w:pPr>
              <w:tabs>
                <w:tab w:val="left" w:pos="2205"/>
              </w:tabs>
              <w:jc w:val="center"/>
              <w:rPr>
                <w:color w:val="FF0000"/>
              </w:rPr>
            </w:pPr>
          </w:p>
        </w:tc>
        <w:tc>
          <w:tcPr>
            <w:tcW w:w="1242" w:type="dxa"/>
            <w:vMerge w:val="continue"/>
            <w:tcBorders>
              <w:tl2br w:val="nil"/>
              <w:tr2bl w:val="nil"/>
            </w:tcBorders>
            <w:vAlign w:val="center"/>
          </w:tcPr>
          <w:p>
            <w:pPr>
              <w:tabs>
                <w:tab w:val="left" w:pos="2205"/>
              </w:tabs>
              <w:jc w:val="center"/>
            </w:pPr>
          </w:p>
        </w:tc>
        <w:tc>
          <w:tcPr>
            <w:tcW w:w="1276" w:type="dxa"/>
            <w:tcBorders>
              <w:tl2br w:val="nil"/>
              <w:tr2bl w:val="nil"/>
            </w:tcBorders>
            <w:vAlign w:val="center"/>
          </w:tcPr>
          <w:p>
            <w:pPr>
              <w:spacing w:line="240" w:lineRule="exact"/>
              <w:jc w:val="center"/>
            </w:pPr>
            <w:r>
              <w:t>实测浓度</w:t>
            </w:r>
          </w:p>
        </w:tc>
        <w:tc>
          <w:tcPr>
            <w:tcW w:w="992" w:type="dxa"/>
            <w:tcBorders>
              <w:tl2br w:val="nil"/>
              <w:tr2bl w:val="nil"/>
            </w:tcBorders>
            <w:vAlign w:val="center"/>
          </w:tcPr>
          <w:p>
            <w:pPr>
              <w:spacing w:line="240" w:lineRule="exact"/>
              <w:jc w:val="center"/>
            </w:pPr>
            <w:r>
              <w:t>mg/m</w:t>
            </w:r>
            <w:r>
              <w:rPr>
                <w:vertAlign w:val="superscript"/>
              </w:rPr>
              <w:t>3</w:t>
            </w:r>
          </w:p>
        </w:tc>
        <w:tc>
          <w:tcPr>
            <w:tcW w:w="1063" w:type="dxa"/>
            <w:tcBorders>
              <w:tl2br w:val="nil"/>
              <w:tr2bl w:val="nil"/>
            </w:tcBorders>
            <w:vAlign w:val="center"/>
          </w:tcPr>
          <w:p>
            <w:pPr>
              <w:tabs>
                <w:tab w:val="left" w:pos="2205"/>
              </w:tabs>
              <w:jc w:val="center"/>
              <w:rPr>
                <w:color w:val="auto"/>
              </w:rPr>
            </w:pPr>
            <w:r>
              <w:rPr>
                <w:color w:val="auto"/>
                <w:szCs w:val="24"/>
              </w:rPr>
              <w:t>21.1</w:t>
            </w:r>
          </w:p>
        </w:tc>
        <w:tc>
          <w:tcPr>
            <w:tcW w:w="1063" w:type="dxa"/>
            <w:tcBorders>
              <w:tl2br w:val="nil"/>
              <w:tr2bl w:val="nil"/>
            </w:tcBorders>
            <w:vAlign w:val="center"/>
          </w:tcPr>
          <w:p>
            <w:pPr>
              <w:tabs>
                <w:tab w:val="left" w:pos="2205"/>
              </w:tabs>
              <w:jc w:val="center"/>
              <w:rPr>
                <w:color w:val="auto"/>
              </w:rPr>
            </w:pPr>
            <w:r>
              <w:rPr>
                <w:rFonts w:hint="eastAsia"/>
                <w:color w:val="auto"/>
              </w:rPr>
              <w:t>29.8</w:t>
            </w:r>
          </w:p>
        </w:tc>
        <w:tc>
          <w:tcPr>
            <w:tcW w:w="1063" w:type="dxa"/>
            <w:tcBorders>
              <w:tl2br w:val="nil"/>
              <w:tr2bl w:val="nil"/>
            </w:tcBorders>
            <w:vAlign w:val="center"/>
          </w:tcPr>
          <w:p>
            <w:pPr>
              <w:tabs>
                <w:tab w:val="left" w:pos="2205"/>
              </w:tabs>
              <w:jc w:val="center"/>
              <w:rPr>
                <w:color w:val="auto"/>
              </w:rPr>
            </w:pPr>
            <w:r>
              <w:rPr>
                <w:rFonts w:hint="eastAsia"/>
                <w:color w:val="auto"/>
              </w:rPr>
              <w:t>26.0</w:t>
            </w:r>
          </w:p>
        </w:tc>
        <w:tc>
          <w:tcPr>
            <w:tcW w:w="1063" w:type="dxa"/>
            <w:tcBorders>
              <w:tl2br w:val="nil"/>
              <w:tr2bl w:val="nil"/>
            </w:tcBorders>
            <w:vAlign w:val="center"/>
          </w:tcPr>
          <w:p>
            <w:pPr>
              <w:tabs>
                <w:tab w:val="left" w:pos="2205"/>
              </w:tabs>
              <w:jc w:val="center"/>
              <w:rPr>
                <w:color w:val="auto"/>
              </w:rPr>
            </w:pPr>
            <w:r>
              <w:rPr>
                <w:rFonts w:hint="eastAsia"/>
                <w:color w:val="auto"/>
              </w:rPr>
              <w:t>29.8</w:t>
            </w:r>
          </w:p>
        </w:tc>
        <w:tc>
          <w:tcPr>
            <w:tcW w:w="1063" w:type="dxa"/>
            <w:tcBorders>
              <w:tl2br w:val="nil"/>
              <w:tr2bl w:val="nil"/>
            </w:tcBorders>
            <w:vAlign w:val="center"/>
          </w:tcPr>
          <w:p>
            <w:pPr>
              <w:tabs>
                <w:tab w:val="left" w:pos="2205"/>
              </w:tabs>
              <w:jc w:val="center"/>
              <w:rPr>
                <w:color w:val="auto"/>
              </w:rPr>
            </w:pPr>
            <w:r>
              <w:rPr>
                <w:color w:val="auto"/>
                <w:szCs w:val="24"/>
              </w:rPr>
              <w:t>26.5</w:t>
            </w:r>
          </w:p>
        </w:tc>
        <w:tc>
          <w:tcPr>
            <w:tcW w:w="1063" w:type="dxa"/>
            <w:tcBorders>
              <w:tl2br w:val="nil"/>
              <w:tr2bl w:val="nil"/>
            </w:tcBorders>
            <w:vAlign w:val="center"/>
          </w:tcPr>
          <w:p>
            <w:pPr>
              <w:tabs>
                <w:tab w:val="left" w:pos="2205"/>
              </w:tabs>
              <w:jc w:val="center"/>
              <w:rPr>
                <w:color w:val="auto"/>
              </w:rPr>
            </w:pPr>
            <w:r>
              <w:rPr>
                <w:rFonts w:hint="eastAsia"/>
                <w:color w:val="auto"/>
              </w:rPr>
              <w:t>24.3</w:t>
            </w:r>
          </w:p>
        </w:tc>
        <w:tc>
          <w:tcPr>
            <w:tcW w:w="1063" w:type="dxa"/>
            <w:tcBorders>
              <w:tl2br w:val="nil"/>
              <w:tr2bl w:val="nil"/>
            </w:tcBorders>
            <w:vAlign w:val="center"/>
          </w:tcPr>
          <w:p>
            <w:pPr>
              <w:tabs>
                <w:tab w:val="left" w:pos="2205"/>
              </w:tabs>
              <w:jc w:val="center"/>
              <w:rPr>
                <w:color w:val="auto"/>
              </w:rPr>
            </w:pPr>
            <w:r>
              <w:rPr>
                <w:color w:val="auto"/>
                <w:szCs w:val="24"/>
              </w:rPr>
              <w:t>23.0</w:t>
            </w:r>
          </w:p>
        </w:tc>
        <w:tc>
          <w:tcPr>
            <w:tcW w:w="1064" w:type="dxa"/>
            <w:tcBorders>
              <w:tl2br w:val="nil"/>
              <w:tr2bl w:val="nil"/>
            </w:tcBorders>
            <w:vAlign w:val="center"/>
          </w:tcPr>
          <w:p>
            <w:pPr>
              <w:tabs>
                <w:tab w:val="left" w:pos="2205"/>
              </w:tabs>
              <w:jc w:val="center"/>
              <w:rPr>
                <w:color w:val="auto"/>
              </w:rPr>
            </w:pPr>
            <w:r>
              <w:rPr>
                <w:rFonts w:hint="eastAsia"/>
                <w:color w:val="auto"/>
              </w:rPr>
              <w:t>26.5</w:t>
            </w:r>
          </w:p>
        </w:tc>
        <w:tc>
          <w:tcPr>
            <w:tcW w:w="851" w:type="dxa"/>
            <w:tcBorders>
              <w:tl2br w:val="nil"/>
              <w:tr2bl w:val="nil"/>
            </w:tcBorders>
            <w:vAlign w:val="center"/>
          </w:tcPr>
          <w:p>
            <w:pPr>
              <w:tabs>
                <w:tab w:val="left" w:pos="2205"/>
              </w:tabs>
              <w:jc w:val="center"/>
            </w:pPr>
            <w:r>
              <w:t>/</w:t>
            </w:r>
          </w:p>
        </w:tc>
        <w:tc>
          <w:tcPr>
            <w:tcW w:w="992" w:type="dxa"/>
            <w:tcBorders>
              <w:tl2br w:val="nil"/>
              <w:tr2bl w:val="nil"/>
            </w:tcBorders>
            <w:vAlign w:val="center"/>
          </w:tcPr>
          <w:p>
            <w:pPr>
              <w:tabs>
                <w:tab w:val="left" w:pos="2205"/>
              </w:tabs>
              <w:jc w:val="center"/>
            </w:pPr>
            <w:r>
              <w:rPr>
                <w:rFonts w:hint="eastAsia"/>
              </w:rPr>
              <w:t>60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9" w:type="dxa"/>
            <w:vMerge w:val="continue"/>
            <w:tcBorders>
              <w:tl2br w:val="nil"/>
              <w:tr2bl w:val="nil"/>
            </w:tcBorders>
            <w:vAlign w:val="center"/>
          </w:tcPr>
          <w:p>
            <w:pPr>
              <w:tabs>
                <w:tab w:val="left" w:pos="2205"/>
              </w:tabs>
              <w:jc w:val="center"/>
              <w:rPr>
                <w:color w:val="FF0000"/>
              </w:rPr>
            </w:pPr>
          </w:p>
        </w:tc>
        <w:tc>
          <w:tcPr>
            <w:tcW w:w="1242" w:type="dxa"/>
            <w:vMerge w:val="continue"/>
            <w:tcBorders>
              <w:tl2br w:val="nil"/>
              <w:tr2bl w:val="nil"/>
            </w:tcBorders>
            <w:vAlign w:val="center"/>
          </w:tcPr>
          <w:p>
            <w:pPr>
              <w:tabs>
                <w:tab w:val="left" w:pos="2205"/>
              </w:tabs>
              <w:jc w:val="center"/>
            </w:pPr>
          </w:p>
        </w:tc>
        <w:tc>
          <w:tcPr>
            <w:tcW w:w="1276" w:type="dxa"/>
            <w:tcBorders>
              <w:tl2br w:val="nil"/>
              <w:tr2bl w:val="nil"/>
            </w:tcBorders>
            <w:vAlign w:val="center"/>
          </w:tcPr>
          <w:p>
            <w:pPr>
              <w:tabs>
                <w:tab w:val="left" w:pos="2205"/>
              </w:tabs>
              <w:jc w:val="center"/>
            </w:pPr>
            <w:r>
              <w:t>排放速率</w:t>
            </w:r>
          </w:p>
        </w:tc>
        <w:tc>
          <w:tcPr>
            <w:tcW w:w="992" w:type="dxa"/>
            <w:tcBorders>
              <w:tl2br w:val="nil"/>
              <w:tr2bl w:val="nil"/>
            </w:tcBorders>
            <w:vAlign w:val="center"/>
          </w:tcPr>
          <w:p>
            <w:pPr>
              <w:tabs>
                <w:tab w:val="left" w:pos="2205"/>
              </w:tabs>
              <w:jc w:val="center"/>
            </w:pPr>
            <w:r>
              <w:t>kg/h</w:t>
            </w:r>
          </w:p>
        </w:tc>
        <w:tc>
          <w:tcPr>
            <w:tcW w:w="1063" w:type="dxa"/>
            <w:tcBorders>
              <w:tl2br w:val="nil"/>
              <w:tr2bl w:val="nil"/>
            </w:tcBorders>
            <w:vAlign w:val="center"/>
          </w:tcPr>
          <w:p>
            <w:pPr>
              <w:tabs>
                <w:tab w:val="left" w:pos="2205"/>
              </w:tabs>
              <w:jc w:val="center"/>
            </w:pPr>
            <w:r>
              <w:rPr>
                <w:szCs w:val="24"/>
              </w:rPr>
              <w:t>0.0372</w:t>
            </w:r>
          </w:p>
        </w:tc>
        <w:tc>
          <w:tcPr>
            <w:tcW w:w="1063" w:type="dxa"/>
            <w:tcBorders>
              <w:tl2br w:val="nil"/>
              <w:tr2bl w:val="nil"/>
            </w:tcBorders>
            <w:vAlign w:val="center"/>
          </w:tcPr>
          <w:p>
            <w:pPr>
              <w:tabs>
                <w:tab w:val="left" w:pos="2205"/>
              </w:tabs>
              <w:jc w:val="center"/>
            </w:pPr>
            <w:r>
              <w:rPr>
                <w:szCs w:val="24"/>
              </w:rPr>
              <w:t>0.0518</w:t>
            </w:r>
          </w:p>
        </w:tc>
        <w:tc>
          <w:tcPr>
            <w:tcW w:w="1063" w:type="dxa"/>
            <w:tcBorders>
              <w:tl2br w:val="nil"/>
              <w:tr2bl w:val="nil"/>
            </w:tcBorders>
            <w:vAlign w:val="center"/>
          </w:tcPr>
          <w:p>
            <w:pPr>
              <w:tabs>
                <w:tab w:val="left" w:pos="2205"/>
              </w:tabs>
              <w:jc w:val="center"/>
            </w:pPr>
            <w:r>
              <w:rPr>
                <w:szCs w:val="24"/>
              </w:rPr>
              <w:t>0.0456</w:t>
            </w:r>
          </w:p>
        </w:tc>
        <w:tc>
          <w:tcPr>
            <w:tcW w:w="1063" w:type="dxa"/>
            <w:tcBorders>
              <w:tl2br w:val="nil"/>
              <w:tr2bl w:val="nil"/>
            </w:tcBorders>
            <w:vAlign w:val="center"/>
          </w:tcPr>
          <w:p>
            <w:pPr>
              <w:tabs>
                <w:tab w:val="left" w:pos="2205"/>
              </w:tabs>
              <w:jc w:val="center"/>
            </w:pPr>
            <w:r>
              <w:rPr>
                <w:rFonts w:hint="eastAsia"/>
              </w:rPr>
              <w:t>0.0518</w:t>
            </w:r>
          </w:p>
        </w:tc>
        <w:tc>
          <w:tcPr>
            <w:tcW w:w="1063" w:type="dxa"/>
            <w:tcBorders>
              <w:tl2br w:val="nil"/>
              <w:tr2bl w:val="nil"/>
            </w:tcBorders>
            <w:vAlign w:val="center"/>
          </w:tcPr>
          <w:p>
            <w:pPr>
              <w:tabs>
                <w:tab w:val="left" w:pos="2205"/>
              </w:tabs>
              <w:jc w:val="center"/>
            </w:pPr>
            <w:r>
              <w:rPr>
                <w:szCs w:val="24"/>
              </w:rPr>
              <w:t>0.0454</w:t>
            </w:r>
          </w:p>
        </w:tc>
        <w:tc>
          <w:tcPr>
            <w:tcW w:w="1063" w:type="dxa"/>
            <w:tcBorders>
              <w:tl2br w:val="nil"/>
              <w:tr2bl w:val="nil"/>
            </w:tcBorders>
            <w:vAlign w:val="center"/>
          </w:tcPr>
          <w:p>
            <w:pPr>
              <w:tabs>
                <w:tab w:val="left" w:pos="2205"/>
              </w:tabs>
              <w:jc w:val="center"/>
            </w:pPr>
            <w:r>
              <w:rPr>
                <w:szCs w:val="24"/>
              </w:rPr>
              <w:t>0.0387</w:t>
            </w:r>
          </w:p>
        </w:tc>
        <w:tc>
          <w:tcPr>
            <w:tcW w:w="1063" w:type="dxa"/>
            <w:tcBorders>
              <w:tl2br w:val="nil"/>
              <w:tr2bl w:val="nil"/>
            </w:tcBorders>
            <w:vAlign w:val="center"/>
          </w:tcPr>
          <w:p>
            <w:pPr>
              <w:tabs>
                <w:tab w:val="left" w:pos="2205"/>
              </w:tabs>
              <w:jc w:val="center"/>
            </w:pPr>
            <w:r>
              <w:rPr>
                <w:szCs w:val="24"/>
              </w:rPr>
              <w:t>0.0319</w:t>
            </w:r>
          </w:p>
        </w:tc>
        <w:tc>
          <w:tcPr>
            <w:tcW w:w="1064" w:type="dxa"/>
            <w:tcBorders>
              <w:tl2br w:val="nil"/>
              <w:tr2bl w:val="nil"/>
            </w:tcBorders>
            <w:vAlign w:val="center"/>
          </w:tcPr>
          <w:p>
            <w:pPr>
              <w:tabs>
                <w:tab w:val="left" w:pos="2205"/>
              </w:tabs>
              <w:jc w:val="center"/>
            </w:pPr>
            <w:r>
              <w:rPr>
                <w:szCs w:val="24"/>
              </w:rPr>
              <w:t>0.0454</w:t>
            </w:r>
          </w:p>
        </w:tc>
        <w:tc>
          <w:tcPr>
            <w:tcW w:w="851" w:type="dxa"/>
            <w:tcBorders>
              <w:tl2br w:val="nil"/>
              <w:tr2bl w:val="nil"/>
            </w:tcBorders>
            <w:vAlign w:val="center"/>
          </w:tcPr>
          <w:p>
            <w:pPr>
              <w:tabs>
                <w:tab w:val="left" w:pos="2205"/>
              </w:tabs>
              <w:jc w:val="center"/>
            </w:pPr>
            <w:r>
              <w:t>/</w:t>
            </w:r>
          </w:p>
        </w:tc>
        <w:tc>
          <w:tcPr>
            <w:tcW w:w="992" w:type="dxa"/>
            <w:tcBorders>
              <w:tl2br w:val="nil"/>
              <w:tr2bl w:val="nil"/>
            </w:tcBorders>
            <w:vAlign w:val="center"/>
          </w:tcPr>
          <w:p>
            <w:pPr>
              <w:tabs>
                <w:tab w:val="left" w:pos="2205"/>
              </w:tabs>
              <w:jc w:val="center"/>
            </w:pPr>
            <w:r>
              <w:rPr>
                <w:rFonts w:hint="eastAsia"/>
              </w:rPr>
              <w:t>/</w:t>
            </w:r>
          </w:p>
        </w:tc>
      </w:tr>
    </w:tbl>
    <w:p>
      <w:pPr>
        <w:spacing w:line="360" w:lineRule="auto"/>
        <w:contextualSpacing/>
        <w:rPr>
          <w:b/>
          <w:sz w:val="24"/>
          <w:szCs w:val="24"/>
        </w:rPr>
      </w:pPr>
      <w:r>
        <w:rPr>
          <w:b/>
          <w:sz w:val="24"/>
          <w:szCs w:val="24"/>
        </w:rPr>
        <w:t>9.2.1.2有组织废气监测结果分析</w:t>
      </w:r>
    </w:p>
    <w:p>
      <w:pPr>
        <w:spacing w:line="360" w:lineRule="auto"/>
        <w:ind w:firstLine="480" w:firstLineChars="200"/>
        <w:contextualSpacing/>
        <w:rPr>
          <w:sz w:val="24"/>
          <w:szCs w:val="24"/>
        </w:rPr>
      </w:pPr>
      <w:r>
        <w:rPr>
          <w:sz w:val="24"/>
          <w:szCs w:val="24"/>
        </w:rPr>
        <w:t>验收监测期间：</w:t>
      </w:r>
      <w:bookmarkStart w:id="88" w:name="_Hlk171416666"/>
      <w:r>
        <w:rPr>
          <w:rFonts w:hint="eastAsia"/>
          <w:sz w:val="24"/>
          <w:szCs w:val="24"/>
        </w:rPr>
        <w:t>P1排气筒中氯气</w:t>
      </w:r>
      <w:r>
        <w:rPr>
          <w:sz w:val="24"/>
          <w:szCs w:val="24"/>
        </w:rPr>
        <w:t>两天最大实测浓度为</w:t>
      </w:r>
      <w:r>
        <w:rPr>
          <w:rFonts w:hint="eastAsia"/>
          <w:sz w:val="24"/>
          <w:szCs w:val="24"/>
        </w:rPr>
        <w:t>3.9</w:t>
      </w:r>
      <w:r>
        <w:rPr>
          <w:sz w:val="24"/>
          <w:szCs w:val="24"/>
        </w:rPr>
        <w:t>mg/m</w:t>
      </w:r>
      <w:r>
        <w:rPr>
          <w:sz w:val="24"/>
          <w:szCs w:val="24"/>
          <w:vertAlign w:val="superscript"/>
        </w:rPr>
        <w:t>3</w:t>
      </w:r>
      <w:r>
        <w:rPr>
          <w:rFonts w:hint="eastAsia"/>
          <w:sz w:val="24"/>
          <w:szCs w:val="24"/>
        </w:rPr>
        <w:t>、排放速率为0.0068</w:t>
      </w:r>
      <w:r>
        <w:rPr>
          <w:sz w:val="24"/>
          <w:szCs w:val="24"/>
        </w:rPr>
        <w:t>kg/h</w:t>
      </w:r>
      <w:r>
        <w:rPr>
          <w:rFonts w:hint="eastAsia"/>
          <w:sz w:val="24"/>
          <w:szCs w:val="24"/>
        </w:rPr>
        <w:t>；氯化氢</w:t>
      </w:r>
      <w:r>
        <w:rPr>
          <w:sz w:val="24"/>
          <w:szCs w:val="24"/>
        </w:rPr>
        <w:t>两天最大实测浓度为</w:t>
      </w:r>
      <w:r>
        <w:rPr>
          <w:rFonts w:hint="eastAsia"/>
          <w:sz w:val="24"/>
          <w:szCs w:val="24"/>
        </w:rPr>
        <w:t>24.5</w:t>
      </w:r>
      <w:r>
        <w:rPr>
          <w:sz w:val="24"/>
          <w:szCs w:val="24"/>
        </w:rPr>
        <w:t>mg/m</w:t>
      </w:r>
      <w:r>
        <w:rPr>
          <w:sz w:val="24"/>
          <w:szCs w:val="24"/>
          <w:vertAlign w:val="superscript"/>
        </w:rPr>
        <w:t>3</w:t>
      </w:r>
      <w:r>
        <w:rPr>
          <w:rFonts w:hint="eastAsia"/>
          <w:sz w:val="24"/>
          <w:szCs w:val="24"/>
        </w:rPr>
        <w:t>、排放速率为0.0447</w:t>
      </w:r>
      <w:r>
        <w:rPr>
          <w:sz w:val="24"/>
          <w:szCs w:val="24"/>
        </w:rPr>
        <w:t>kg/h</w:t>
      </w:r>
      <w:r>
        <w:rPr>
          <w:rFonts w:hint="eastAsia"/>
          <w:sz w:val="24"/>
          <w:szCs w:val="24"/>
        </w:rPr>
        <w:t>；</w:t>
      </w:r>
      <w:r>
        <w:rPr>
          <w:sz w:val="24"/>
          <w:szCs w:val="24"/>
        </w:rPr>
        <w:t>VOCs（以非甲烷总烃计）两天最大实测浓度为</w:t>
      </w:r>
      <w:r>
        <w:rPr>
          <w:rFonts w:hint="eastAsia"/>
          <w:sz w:val="24"/>
          <w:szCs w:val="24"/>
        </w:rPr>
        <w:t>29.8</w:t>
      </w:r>
      <w:r>
        <w:rPr>
          <w:sz w:val="24"/>
          <w:szCs w:val="24"/>
        </w:rPr>
        <w:t>mg/m</w:t>
      </w:r>
      <w:r>
        <w:rPr>
          <w:sz w:val="24"/>
          <w:szCs w:val="24"/>
          <w:vertAlign w:val="superscript"/>
        </w:rPr>
        <w:t>3</w:t>
      </w:r>
      <w:r>
        <w:rPr>
          <w:rFonts w:hint="eastAsia"/>
          <w:sz w:val="24"/>
          <w:szCs w:val="24"/>
        </w:rPr>
        <w:t>、排放速率为0.0518</w:t>
      </w:r>
      <w:r>
        <w:rPr>
          <w:sz w:val="24"/>
          <w:szCs w:val="24"/>
        </w:rPr>
        <w:t>kg/h</w:t>
      </w:r>
      <w:r>
        <w:rPr>
          <w:rFonts w:hint="eastAsia"/>
          <w:sz w:val="24"/>
          <w:szCs w:val="24"/>
        </w:rPr>
        <w:t>。氯气、氯化氢两天最大实测浓度均满足《石油化学工业污染物排放标准》（GB31571-2015）表4中相关要求。</w:t>
      </w:r>
      <w:r>
        <w:rPr>
          <w:sz w:val="24"/>
          <w:szCs w:val="24"/>
        </w:rPr>
        <w:t>VOCs（以非甲烷总烃计）</w:t>
      </w:r>
      <w:r>
        <w:rPr>
          <w:rFonts w:hint="eastAsia"/>
          <w:sz w:val="24"/>
          <w:szCs w:val="24"/>
        </w:rPr>
        <w:t>《挥发性有机物排放标准 第6部分 有机化工行业》（DB37/ 2801.6-2018）中表1中II时段相关要求。</w:t>
      </w:r>
      <w:bookmarkEnd w:id="88"/>
    </w:p>
    <w:p>
      <w:pPr>
        <w:contextualSpacing/>
        <w:rPr>
          <w:b/>
          <w:bCs/>
          <w:color w:val="000000"/>
        </w:rPr>
      </w:pPr>
    </w:p>
    <w:bookmarkEnd w:id="87"/>
    <w:p>
      <w:pPr>
        <w:rPr>
          <w:sz w:val="24"/>
          <w:szCs w:val="24"/>
        </w:rPr>
      </w:pPr>
    </w:p>
    <w:p>
      <w:p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11"/>
      </w:pPr>
      <w:bookmarkStart w:id="89" w:name="_Toc1544042"/>
      <w:bookmarkStart w:id="90" w:name="_Toc31818"/>
      <w:r>
        <w:t>9.2.2无组织废气排放监测结果</w:t>
      </w:r>
      <w:bookmarkEnd w:id="89"/>
      <w:bookmarkEnd w:id="90"/>
    </w:p>
    <w:p>
      <w:pPr>
        <w:spacing w:line="360" w:lineRule="auto"/>
        <w:contextualSpacing/>
        <w:rPr>
          <w:b/>
          <w:sz w:val="24"/>
          <w:szCs w:val="24"/>
        </w:rPr>
      </w:pPr>
      <w:r>
        <w:rPr>
          <w:b/>
          <w:sz w:val="24"/>
          <w:szCs w:val="24"/>
        </w:rPr>
        <w:t>9.2.2.1无组织废气排放监测结果</w:t>
      </w:r>
    </w:p>
    <w:p>
      <w:pPr>
        <w:spacing w:line="360" w:lineRule="auto"/>
        <w:ind w:firstLine="480" w:firstLineChars="200"/>
        <w:contextualSpacing/>
        <w:rPr>
          <w:b/>
        </w:rPr>
      </w:pPr>
      <w:r>
        <w:rPr>
          <w:sz w:val="24"/>
          <w:szCs w:val="24"/>
        </w:rPr>
        <w:t>无组织废气监测期间气象参数见表9.2-</w:t>
      </w:r>
      <w:r>
        <w:rPr>
          <w:rFonts w:hint="eastAsia"/>
          <w:sz w:val="24"/>
          <w:szCs w:val="24"/>
        </w:rPr>
        <w:t>2</w:t>
      </w:r>
      <w:r>
        <w:rPr>
          <w:rFonts w:hint="eastAsia"/>
          <w:sz w:val="24"/>
          <w:szCs w:val="24"/>
          <w:lang w:eastAsia="zh-CN"/>
        </w:rPr>
        <w:t>、</w:t>
      </w:r>
      <w:r>
        <w:rPr>
          <w:rFonts w:hint="eastAsia"/>
          <w:sz w:val="24"/>
          <w:szCs w:val="24"/>
          <w:lang w:val="en-US" w:eastAsia="zh-CN"/>
        </w:rPr>
        <w:t>9.2-3</w:t>
      </w:r>
      <w:r>
        <w:rPr>
          <w:rFonts w:hint="eastAsia"/>
          <w:sz w:val="24"/>
          <w:szCs w:val="24"/>
        </w:rPr>
        <w:t>。</w:t>
      </w:r>
    </w:p>
    <w:p>
      <w:pPr>
        <w:tabs>
          <w:tab w:val="center" w:pos="4592"/>
          <w:tab w:val="left" w:pos="6440"/>
        </w:tabs>
        <w:spacing w:line="360" w:lineRule="auto"/>
        <w:contextualSpacing/>
        <w:jc w:val="center"/>
        <w:rPr>
          <w:b/>
        </w:rPr>
      </w:pPr>
      <w:r>
        <w:rPr>
          <w:b/>
        </w:rPr>
        <w:t>表9.2-</w:t>
      </w:r>
      <w:r>
        <w:rPr>
          <w:rFonts w:hint="eastAsia"/>
          <w:b/>
        </w:rPr>
        <w:t>2</w:t>
      </w:r>
      <w:r>
        <w:rPr>
          <w:b/>
        </w:rPr>
        <w:t>无组织废气监测期间气象参数</w:t>
      </w:r>
    </w:p>
    <w:tbl>
      <w:tblPr>
        <w:tblStyle w:val="39"/>
        <w:tblW w:w="849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38"/>
        <w:gridCol w:w="1238"/>
        <w:gridCol w:w="1624"/>
        <w:gridCol w:w="1003"/>
        <w:gridCol w:w="1408"/>
        <w:gridCol w:w="917"/>
        <w:gridCol w:w="106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8" w:type="dxa"/>
            <w:tcBorders>
              <w:tl2br w:val="nil"/>
              <w:tr2bl w:val="nil"/>
            </w:tcBorders>
            <w:vAlign w:val="center"/>
          </w:tcPr>
          <w:p>
            <w:pPr>
              <w:spacing w:line="360" w:lineRule="auto"/>
              <w:jc w:val="center"/>
              <w:rPr>
                <w:b/>
                <w:bCs/>
              </w:rPr>
            </w:pPr>
            <w:r>
              <w:rPr>
                <w:b/>
                <w:bCs/>
              </w:rPr>
              <w:t>日期</w:t>
            </w:r>
          </w:p>
        </w:tc>
        <w:tc>
          <w:tcPr>
            <w:tcW w:w="1238" w:type="dxa"/>
            <w:tcBorders>
              <w:tl2br w:val="nil"/>
              <w:tr2bl w:val="nil"/>
            </w:tcBorders>
            <w:vAlign w:val="center"/>
          </w:tcPr>
          <w:p>
            <w:pPr>
              <w:spacing w:line="360" w:lineRule="auto"/>
              <w:jc w:val="center"/>
              <w:rPr>
                <w:b/>
                <w:bCs/>
              </w:rPr>
            </w:pPr>
            <w:r>
              <w:rPr>
                <w:b/>
                <w:bCs/>
              </w:rPr>
              <w:t>温度(℃)</w:t>
            </w:r>
          </w:p>
        </w:tc>
        <w:tc>
          <w:tcPr>
            <w:tcW w:w="1624" w:type="dxa"/>
            <w:tcBorders>
              <w:tl2br w:val="nil"/>
              <w:tr2bl w:val="nil"/>
            </w:tcBorders>
            <w:vAlign w:val="center"/>
          </w:tcPr>
          <w:p>
            <w:pPr>
              <w:spacing w:line="360" w:lineRule="auto"/>
              <w:jc w:val="center"/>
              <w:rPr>
                <w:b/>
                <w:bCs/>
              </w:rPr>
            </w:pPr>
            <w:r>
              <w:rPr>
                <w:b/>
                <w:bCs/>
              </w:rPr>
              <w:t>大气压（kPa）</w:t>
            </w:r>
          </w:p>
        </w:tc>
        <w:tc>
          <w:tcPr>
            <w:tcW w:w="1003" w:type="dxa"/>
            <w:tcBorders>
              <w:tl2br w:val="nil"/>
              <w:tr2bl w:val="nil"/>
            </w:tcBorders>
            <w:vAlign w:val="center"/>
          </w:tcPr>
          <w:p>
            <w:pPr>
              <w:spacing w:line="360" w:lineRule="auto"/>
              <w:jc w:val="center"/>
              <w:rPr>
                <w:b/>
                <w:bCs/>
              </w:rPr>
            </w:pPr>
            <w:r>
              <w:rPr>
                <w:b/>
                <w:bCs/>
              </w:rPr>
              <w:t>风向</w:t>
            </w:r>
          </w:p>
        </w:tc>
        <w:tc>
          <w:tcPr>
            <w:tcW w:w="1408" w:type="dxa"/>
            <w:tcBorders>
              <w:tl2br w:val="nil"/>
              <w:tr2bl w:val="nil"/>
            </w:tcBorders>
            <w:vAlign w:val="center"/>
          </w:tcPr>
          <w:p>
            <w:pPr>
              <w:spacing w:line="360" w:lineRule="auto"/>
              <w:jc w:val="center"/>
              <w:rPr>
                <w:b/>
                <w:bCs/>
              </w:rPr>
            </w:pPr>
            <w:r>
              <w:rPr>
                <w:b/>
                <w:bCs/>
              </w:rPr>
              <w:t>风速(m/s)</w:t>
            </w:r>
          </w:p>
        </w:tc>
        <w:tc>
          <w:tcPr>
            <w:tcW w:w="917" w:type="dxa"/>
            <w:tcBorders>
              <w:tl2br w:val="nil"/>
              <w:tr2bl w:val="nil"/>
            </w:tcBorders>
            <w:vAlign w:val="center"/>
          </w:tcPr>
          <w:p>
            <w:pPr>
              <w:spacing w:line="360" w:lineRule="auto"/>
              <w:jc w:val="center"/>
              <w:rPr>
                <w:b/>
                <w:bCs/>
                <w:color w:val="000000"/>
              </w:rPr>
            </w:pPr>
            <w:r>
              <w:rPr>
                <w:b/>
                <w:bCs/>
                <w:color w:val="000000"/>
              </w:rPr>
              <w:t>总云量</w:t>
            </w:r>
          </w:p>
        </w:tc>
        <w:tc>
          <w:tcPr>
            <w:tcW w:w="1063" w:type="dxa"/>
            <w:tcBorders>
              <w:tl2br w:val="nil"/>
              <w:tr2bl w:val="nil"/>
            </w:tcBorders>
            <w:vAlign w:val="center"/>
          </w:tcPr>
          <w:p>
            <w:pPr>
              <w:spacing w:line="360" w:lineRule="auto"/>
              <w:jc w:val="center"/>
              <w:rPr>
                <w:b/>
                <w:bCs/>
                <w:color w:val="000000"/>
              </w:rPr>
            </w:pPr>
            <w:r>
              <w:rPr>
                <w:b/>
                <w:bCs/>
                <w:color w:val="000000"/>
              </w:rPr>
              <w:t>低云量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8" w:type="dxa"/>
            <w:vMerge w:val="restart"/>
            <w:tcBorders>
              <w:tl2br w:val="nil"/>
              <w:tr2bl w:val="nil"/>
            </w:tcBorders>
            <w:vAlign w:val="center"/>
          </w:tcPr>
          <w:p>
            <w:pPr>
              <w:spacing w:line="360" w:lineRule="auto"/>
              <w:jc w:val="center"/>
            </w:pPr>
            <w:r>
              <w:rPr>
                <w:rFonts w:hint="eastAsia"/>
              </w:rPr>
              <w:t>2024.6.13</w:t>
            </w:r>
          </w:p>
        </w:tc>
        <w:tc>
          <w:tcPr>
            <w:tcW w:w="1238" w:type="dxa"/>
            <w:tcBorders>
              <w:tl2br w:val="nil"/>
              <w:tr2bl w:val="nil"/>
            </w:tcBorders>
            <w:vAlign w:val="center"/>
          </w:tcPr>
          <w:p>
            <w:pPr>
              <w:pStyle w:val="138"/>
              <w:widowControl/>
              <w:jc w:val="center"/>
            </w:pPr>
            <w:r>
              <w:rPr>
                <w:rFonts w:ascii="Times New Roman"/>
                <w:color w:val="auto"/>
                <w:szCs w:val="24"/>
              </w:rPr>
              <w:t>31.2</w:t>
            </w:r>
          </w:p>
        </w:tc>
        <w:tc>
          <w:tcPr>
            <w:tcW w:w="1624" w:type="dxa"/>
            <w:tcBorders>
              <w:tl2br w:val="nil"/>
              <w:tr2bl w:val="nil"/>
            </w:tcBorders>
            <w:vAlign w:val="center"/>
          </w:tcPr>
          <w:p>
            <w:pPr>
              <w:pStyle w:val="138"/>
              <w:widowControl/>
              <w:jc w:val="center"/>
            </w:pPr>
            <w:r>
              <w:rPr>
                <w:rFonts w:ascii="Times New Roman"/>
                <w:color w:val="auto"/>
                <w:szCs w:val="24"/>
              </w:rPr>
              <w:t>100.1</w:t>
            </w:r>
          </w:p>
        </w:tc>
        <w:tc>
          <w:tcPr>
            <w:tcW w:w="1003" w:type="dxa"/>
            <w:tcBorders>
              <w:tl2br w:val="nil"/>
              <w:tr2bl w:val="nil"/>
            </w:tcBorders>
          </w:tcPr>
          <w:p>
            <w:pPr>
              <w:spacing w:line="360" w:lineRule="auto"/>
              <w:jc w:val="center"/>
            </w:pPr>
            <w:r>
              <w:rPr>
                <w:rFonts w:hint="eastAsia"/>
              </w:rPr>
              <w:t>南</w:t>
            </w:r>
          </w:p>
        </w:tc>
        <w:tc>
          <w:tcPr>
            <w:tcW w:w="1408" w:type="dxa"/>
            <w:tcBorders>
              <w:tl2br w:val="nil"/>
              <w:tr2bl w:val="nil"/>
            </w:tcBorders>
            <w:vAlign w:val="center"/>
          </w:tcPr>
          <w:p>
            <w:pPr>
              <w:pStyle w:val="138"/>
              <w:widowControl/>
              <w:jc w:val="center"/>
              <w:rPr>
                <w:rFonts w:ascii="Times New Roman"/>
                <w:color w:val="auto"/>
                <w:szCs w:val="24"/>
              </w:rPr>
            </w:pPr>
            <w:r>
              <w:rPr>
                <w:rFonts w:ascii="Times New Roman"/>
                <w:color w:val="auto"/>
                <w:szCs w:val="24"/>
              </w:rPr>
              <w:t>2.3</w:t>
            </w:r>
          </w:p>
        </w:tc>
        <w:tc>
          <w:tcPr>
            <w:tcW w:w="917" w:type="dxa"/>
            <w:tcBorders>
              <w:tl2br w:val="nil"/>
              <w:tr2bl w:val="nil"/>
            </w:tcBorders>
            <w:vAlign w:val="center"/>
          </w:tcPr>
          <w:p>
            <w:pPr>
              <w:pStyle w:val="138"/>
              <w:widowControl/>
              <w:jc w:val="center"/>
              <w:rPr>
                <w:rFonts w:ascii="Times New Roman"/>
                <w:color w:val="auto"/>
                <w:szCs w:val="24"/>
              </w:rPr>
            </w:pPr>
            <w:r>
              <w:rPr>
                <w:rFonts w:hint="eastAsia" w:ascii="Times New Roman"/>
                <w:color w:val="auto"/>
                <w:szCs w:val="24"/>
              </w:rPr>
              <w:t>8</w:t>
            </w:r>
          </w:p>
        </w:tc>
        <w:tc>
          <w:tcPr>
            <w:tcW w:w="1063" w:type="dxa"/>
            <w:tcBorders>
              <w:tl2br w:val="nil"/>
              <w:tr2bl w:val="nil"/>
            </w:tcBorders>
            <w:vAlign w:val="center"/>
          </w:tcPr>
          <w:p>
            <w:pPr>
              <w:pStyle w:val="138"/>
              <w:widowControl/>
              <w:jc w:val="center"/>
            </w:pPr>
            <w:r>
              <w:rPr>
                <w:rFonts w:hint="eastAsia" w:ascii="Times New Roman"/>
                <w:color w:val="auto"/>
                <w:szCs w:val="24"/>
              </w:rPr>
              <w:t>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8" w:type="dxa"/>
            <w:vMerge w:val="continue"/>
            <w:tcBorders>
              <w:tl2br w:val="nil"/>
              <w:tr2bl w:val="nil"/>
            </w:tcBorders>
            <w:vAlign w:val="center"/>
          </w:tcPr>
          <w:p>
            <w:pPr>
              <w:spacing w:line="360" w:lineRule="auto"/>
              <w:jc w:val="center"/>
            </w:pPr>
          </w:p>
        </w:tc>
        <w:tc>
          <w:tcPr>
            <w:tcW w:w="1238" w:type="dxa"/>
            <w:tcBorders>
              <w:tl2br w:val="nil"/>
              <w:tr2bl w:val="nil"/>
            </w:tcBorders>
            <w:vAlign w:val="center"/>
          </w:tcPr>
          <w:p>
            <w:pPr>
              <w:pStyle w:val="138"/>
              <w:jc w:val="center"/>
            </w:pPr>
            <w:r>
              <w:rPr>
                <w:rFonts w:ascii="Times New Roman"/>
              </w:rPr>
              <w:t>37.3</w:t>
            </w:r>
          </w:p>
        </w:tc>
        <w:tc>
          <w:tcPr>
            <w:tcW w:w="1624" w:type="dxa"/>
            <w:tcBorders>
              <w:tl2br w:val="nil"/>
              <w:tr2bl w:val="nil"/>
            </w:tcBorders>
            <w:vAlign w:val="center"/>
          </w:tcPr>
          <w:p>
            <w:pPr>
              <w:pStyle w:val="138"/>
              <w:jc w:val="center"/>
            </w:pPr>
            <w:r>
              <w:rPr>
                <w:rFonts w:ascii="Times New Roman"/>
              </w:rPr>
              <w:t>99.9</w:t>
            </w:r>
          </w:p>
        </w:tc>
        <w:tc>
          <w:tcPr>
            <w:tcW w:w="1003" w:type="dxa"/>
            <w:tcBorders>
              <w:tl2br w:val="nil"/>
              <w:tr2bl w:val="nil"/>
            </w:tcBorders>
          </w:tcPr>
          <w:p>
            <w:pPr>
              <w:spacing w:line="360" w:lineRule="auto"/>
              <w:jc w:val="center"/>
            </w:pPr>
            <w:r>
              <w:rPr>
                <w:rFonts w:hint="eastAsia"/>
              </w:rPr>
              <w:t>南</w:t>
            </w:r>
          </w:p>
        </w:tc>
        <w:tc>
          <w:tcPr>
            <w:tcW w:w="1408" w:type="dxa"/>
            <w:tcBorders>
              <w:tl2br w:val="nil"/>
              <w:tr2bl w:val="nil"/>
            </w:tcBorders>
            <w:vAlign w:val="center"/>
          </w:tcPr>
          <w:p>
            <w:pPr>
              <w:pStyle w:val="138"/>
              <w:jc w:val="center"/>
              <w:rPr>
                <w:rFonts w:ascii="Times New Roman"/>
              </w:rPr>
            </w:pPr>
            <w:r>
              <w:rPr>
                <w:rFonts w:ascii="Times New Roman"/>
              </w:rPr>
              <w:t>2.3</w:t>
            </w:r>
          </w:p>
        </w:tc>
        <w:tc>
          <w:tcPr>
            <w:tcW w:w="917" w:type="dxa"/>
            <w:tcBorders>
              <w:tl2br w:val="nil"/>
              <w:tr2bl w:val="nil"/>
            </w:tcBorders>
            <w:vAlign w:val="center"/>
          </w:tcPr>
          <w:p>
            <w:pPr>
              <w:pStyle w:val="138"/>
              <w:jc w:val="center"/>
              <w:rPr>
                <w:rFonts w:ascii="Times New Roman"/>
              </w:rPr>
            </w:pPr>
            <w:r>
              <w:rPr>
                <w:rFonts w:hint="eastAsia" w:ascii="Times New Roman"/>
              </w:rPr>
              <w:t>8</w:t>
            </w:r>
          </w:p>
        </w:tc>
        <w:tc>
          <w:tcPr>
            <w:tcW w:w="1063" w:type="dxa"/>
            <w:tcBorders>
              <w:tl2br w:val="nil"/>
              <w:tr2bl w:val="nil"/>
            </w:tcBorders>
            <w:vAlign w:val="center"/>
          </w:tcPr>
          <w:p>
            <w:pPr>
              <w:pStyle w:val="138"/>
              <w:jc w:val="center"/>
            </w:pPr>
            <w:r>
              <w:rPr>
                <w:rFonts w:hint="eastAsia" w:ascii="Times New Roman"/>
              </w:rPr>
              <w:t>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8" w:type="dxa"/>
            <w:vMerge w:val="continue"/>
            <w:tcBorders>
              <w:tl2br w:val="nil"/>
              <w:tr2bl w:val="nil"/>
            </w:tcBorders>
            <w:vAlign w:val="center"/>
          </w:tcPr>
          <w:p>
            <w:pPr>
              <w:spacing w:line="360" w:lineRule="auto"/>
              <w:jc w:val="center"/>
            </w:pPr>
          </w:p>
        </w:tc>
        <w:tc>
          <w:tcPr>
            <w:tcW w:w="1238" w:type="dxa"/>
            <w:tcBorders>
              <w:tl2br w:val="nil"/>
              <w:tr2bl w:val="nil"/>
            </w:tcBorders>
            <w:vAlign w:val="center"/>
          </w:tcPr>
          <w:p>
            <w:pPr>
              <w:pStyle w:val="138"/>
              <w:jc w:val="center"/>
            </w:pPr>
            <w:r>
              <w:rPr>
                <w:rFonts w:ascii="Times New Roman"/>
              </w:rPr>
              <w:t>39.6</w:t>
            </w:r>
          </w:p>
        </w:tc>
        <w:tc>
          <w:tcPr>
            <w:tcW w:w="1624" w:type="dxa"/>
            <w:tcBorders>
              <w:tl2br w:val="nil"/>
              <w:tr2bl w:val="nil"/>
            </w:tcBorders>
            <w:vAlign w:val="center"/>
          </w:tcPr>
          <w:p>
            <w:pPr>
              <w:pStyle w:val="138"/>
              <w:jc w:val="center"/>
            </w:pPr>
            <w:r>
              <w:rPr>
                <w:rFonts w:ascii="Times New Roman"/>
              </w:rPr>
              <w:t>99.7</w:t>
            </w:r>
          </w:p>
        </w:tc>
        <w:tc>
          <w:tcPr>
            <w:tcW w:w="1003" w:type="dxa"/>
            <w:tcBorders>
              <w:tl2br w:val="nil"/>
              <w:tr2bl w:val="nil"/>
            </w:tcBorders>
          </w:tcPr>
          <w:p>
            <w:pPr>
              <w:spacing w:line="360" w:lineRule="auto"/>
              <w:jc w:val="center"/>
            </w:pPr>
            <w:r>
              <w:rPr>
                <w:rFonts w:hint="eastAsia"/>
              </w:rPr>
              <w:t>南</w:t>
            </w:r>
          </w:p>
        </w:tc>
        <w:tc>
          <w:tcPr>
            <w:tcW w:w="1408" w:type="dxa"/>
            <w:tcBorders>
              <w:tl2br w:val="nil"/>
              <w:tr2bl w:val="nil"/>
            </w:tcBorders>
            <w:vAlign w:val="center"/>
          </w:tcPr>
          <w:p>
            <w:pPr>
              <w:pStyle w:val="138"/>
              <w:jc w:val="center"/>
              <w:rPr>
                <w:rFonts w:ascii="Times New Roman"/>
              </w:rPr>
            </w:pPr>
            <w:r>
              <w:rPr>
                <w:rFonts w:ascii="Times New Roman"/>
              </w:rPr>
              <w:t>2.2</w:t>
            </w:r>
          </w:p>
        </w:tc>
        <w:tc>
          <w:tcPr>
            <w:tcW w:w="917" w:type="dxa"/>
            <w:tcBorders>
              <w:tl2br w:val="nil"/>
              <w:tr2bl w:val="nil"/>
            </w:tcBorders>
            <w:vAlign w:val="center"/>
          </w:tcPr>
          <w:p>
            <w:pPr>
              <w:pStyle w:val="138"/>
              <w:jc w:val="center"/>
              <w:rPr>
                <w:rFonts w:ascii="Times New Roman"/>
              </w:rPr>
            </w:pPr>
            <w:r>
              <w:rPr>
                <w:rFonts w:hint="eastAsia" w:ascii="Times New Roman"/>
              </w:rPr>
              <w:t>8</w:t>
            </w:r>
          </w:p>
        </w:tc>
        <w:tc>
          <w:tcPr>
            <w:tcW w:w="1063" w:type="dxa"/>
            <w:tcBorders>
              <w:tl2br w:val="nil"/>
              <w:tr2bl w:val="nil"/>
            </w:tcBorders>
            <w:vAlign w:val="center"/>
          </w:tcPr>
          <w:p>
            <w:pPr>
              <w:pStyle w:val="138"/>
              <w:jc w:val="center"/>
            </w:pPr>
            <w:r>
              <w:rPr>
                <w:rFonts w:hint="eastAsia" w:ascii="Times New Roman"/>
              </w:rPr>
              <w:t>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8" w:type="dxa"/>
            <w:vMerge w:val="continue"/>
            <w:tcBorders>
              <w:tl2br w:val="nil"/>
              <w:tr2bl w:val="nil"/>
            </w:tcBorders>
            <w:vAlign w:val="center"/>
          </w:tcPr>
          <w:p>
            <w:pPr>
              <w:spacing w:line="360" w:lineRule="auto"/>
              <w:jc w:val="center"/>
            </w:pPr>
          </w:p>
        </w:tc>
        <w:tc>
          <w:tcPr>
            <w:tcW w:w="1238" w:type="dxa"/>
            <w:tcBorders>
              <w:tl2br w:val="nil"/>
              <w:tr2bl w:val="nil"/>
            </w:tcBorders>
            <w:vAlign w:val="center"/>
          </w:tcPr>
          <w:p>
            <w:pPr>
              <w:pStyle w:val="138"/>
              <w:jc w:val="center"/>
            </w:pPr>
            <w:r>
              <w:rPr>
                <w:rFonts w:ascii="Times New Roman"/>
              </w:rPr>
              <w:t>36.4</w:t>
            </w:r>
          </w:p>
        </w:tc>
        <w:tc>
          <w:tcPr>
            <w:tcW w:w="1624" w:type="dxa"/>
            <w:tcBorders>
              <w:tl2br w:val="nil"/>
              <w:tr2bl w:val="nil"/>
            </w:tcBorders>
            <w:vAlign w:val="center"/>
          </w:tcPr>
          <w:p>
            <w:pPr>
              <w:pStyle w:val="138"/>
              <w:jc w:val="center"/>
            </w:pPr>
            <w:r>
              <w:rPr>
                <w:rFonts w:ascii="Times New Roman"/>
              </w:rPr>
              <w:t>99.7</w:t>
            </w:r>
          </w:p>
        </w:tc>
        <w:tc>
          <w:tcPr>
            <w:tcW w:w="1003" w:type="dxa"/>
            <w:tcBorders>
              <w:tl2br w:val="nil"/>
              <w:tr2bl w:val="nil"/>
            </w:tcBorders>
          </w:tcPr>
          <w:p>
            <w:pPr>
              <w:spacing w:line="360" w:lineRule="auto"/>
              <w:jc w:val="center"/>
            </w:pPr>
            <w:r>
              <w:rPr>
                <w:rFonts w:hint="eastAsia"/>
              </w:rPr>
              <w:t>南</w:t>
            </w:r>
          </w:p>
        </w:tc>
        <w:tc>
          <w:tcPr>
            <w:tcW w:w="1408" w:type="dxa"/>
            <w:tcBorders>
              <w:tl2br w:val="nil"/>
              <w:tr2bl w:val="nil"/>
            </w:tcBorders>
            <w:vAlign w:val="center"/>
          </w:tcPr>
          <w:p>
            <w:pPr>
              <w:pStyle w:val="138"/>
              <w:jc w:val="center"/>
              <w:rPr>
                <w:rFonts w:ascii="Times New Roman"/>
              </w:rPr>
            </w:pPr>
            <w:r>
              <w:rPr>
                <w:rFonts w:ascii="Times New Roman"/>
              </w:rPr>
              <w:t>2.4</w:t>
            </w:r>
          </w:p>
        </w:tc>
        <w:tc>
          <w:tcPr>
            <w:tcW w:w="917" w:type="dxa"/>
            <w:tcBorders>
              <w:tl2br w:val="nil"/>
              <w:tr2bl w:val="nil"/>
            </w:tcBorders>
            <w:vAlign w:val="center"/>
          </w:tcPr>
          <w:p>
            <w:pPr>
              <w:pStyle w:val="138"/>
              <w:jc w:val="center"/>
              <w:rPr>
                <w:rFonts w:ascii="Times New Roman"/>
              </w:rPr>
            </w:pPr>
            <w:r>
              <w:rPr>
                <w:rFonts w:hint="eastAsia" w:ascii="Times New Roman"/>
              </w:rPr>
              <w:t>8</w:t>
            </w:r>
          </w:p>
        </w:tc>
        <w:tc>
          <w:tcPr>
            <w:tcW w:w="1063" w:type="dxa"/>
            <w:tcBorders>
              <w:tl2br w:val="nil"/>
              <w:tr2bl w:val="nil"/>
            </w:tcBorders>
            <w:vAlign w:val="center"/>
          </w:tcPr>
          <w:p>
            <w:pPr>
              <w:pStyle w:val="138"/>
              <w:jc w:val="center"/>
            </w:pPr>
            <w:r>
              <w:rPr>
                <w:rFonts w:hint="eastAsia" w:ascii="Times New Roman"/>
              </w:rPr>
              <w:t>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8" w:type="dxa"/>
            <w:vMerge w:val="restart"/>
            <w:tcBorders>
              <w:tl2br w:val="nil"/>
              <w:tr2bl w:val="nil"/>
            </w:tcBorders>
            <w:vAlign w:val="center"/>
          </w:tcPr>
          <w:p>
            <w:pPr>
              <w:spacing w:line="360" w:lineRule="auto"/>
              <w:jc w:val="center"/>
            </w:pPr>
            <w:r>
              <w:rPr>
                <w:rFonts w:hint="eastAsia"/>
              </w:rPr>
              <w:t>2024.6.15</w:t>
            </w:r>
          </w:p>
        </w:tc>
        <w:tc>
          <w:tcPr>
            <w:tcW w:w="1238" w:type="dxa"/>
            <w:tcBorders>
              <w:tl2br w:val="nil"/>
              <w:tr2bl w:val="nil"/>
            </w:tcBorders>
            <w:vAlign w:val="center"/>
          </w:tcPr>
          <w:p>
            <w:pPr>
              <w:pStyle w:val="139"/>
              <w:widowControl/>
              <w:jc w:val="center"/>
              <w:rPr>
                <w:rFonts w:ascii="Times New Roman"/>
                <w:color w:val="auto"/>
                <w:szCs w:val="24"/>
              </w:rPr>
            </w:pPr>
            <w:r>
              <w:rPr>
                <w:rFonts w:ascii="Times New Roman"/>
                <w:color w:val="auto"/>
                <w:szCs w:val="24"/>
              </w:rPr>
              <w:t>26.8</w:t>
            </w:r>
          </w:p>
        </w:tc>
        <w:tc>
          <w:tcPr>
            <w:tcW w:w="1624" w:type="dxa"/>
            <w:tcBorders>
              <w:tl2br w:val="nil"/>
              <w:tr2bl w:val="nil"/>
            </w:tcBorders>
            <w:vAlign w:val="center"/>
          </w:tcPr>
          <w:p>
            <w:pPr>
              <w:pStyle w:val="139"/>
              <w:widowControl/>
              <w:jc w:val="center"/>
              <w:rPr>
                <w:rFonts w:ascii="Times New Roman"/>
                <w:color w:val="auto"/>
                <w:szCs w:val="24"/>
              </w:rPr>
            </w:pPr>
            <w:r>
              <w:rPr>
                <w:rFonts w:ascii="Times New Roman"/>
                <w:color w:val="auto"/>
                <w:szCs w:val="24"/>
              </w:rPr>
              <w:t>100.5</w:t>
            </w:r>
          </w:p>
        </w:tc>
        <w:tc>
          <w:tcPr>
            <w:tcW w:w="1003" w:type="dxa"/>
            <w:tcBorders>
              <w:tl2br w:val="nil"/>
              <w:tr2bl w:val="nil"/>
            </w:tcBorders>
          </w:tcPr>
          <w:p>
            <w:pPr>
              <w:spacing w:line="360" w:lineRule="auto"/>
              <w:jc w:val="center"/>
              <w:rPr>
                <w:highlight w:val="yellow"/>
              </w:rPr>
            </w:pPr>
            <w:r>
              <w:rPr>
                <w:rFonts w:hint="eastAsia"/>
              </w:rPr>
              <w:t>西</w:t>
            </w:r>
          </w:p>
        </w:tc>
        <w:tc>
          <w:tcPr>
            <w:tcW w:w="1408" w:type="dxa"/>
            <w:tcBorders>
              <w:tl2br w:val="nil"/>
              <w:tr2bl w:val="nil"/>
            </w:tcBorders>
            <w:vAlign w:val="center"/>
          </w:tcPr>
          <w:p>
            <w:pPr>
              <w:pStyle w:val="139"/>
              <w:widowControl/>
              <w:jc w:val="center"/>
              <w:rPr>
                <w:rFonts w:ascii="Times New Roman"/>
                <w:color w:val="auto"/>
                <w:szCs w:val="24"/>
              </w:rPr>
            </w:pPr>
            <w:r>
              <w:rPr>
                <w:rFonts w:ascii="Times New Roman"/>
                <w:color w:val="auto"/>
                <w:szCs w:val="24"/>
              </w:rPr>
              <w:t>1.9</w:t>
            </w:r>
          </w:p>
        </w:tc>
        <w:tc>
          <w:tcPr>
            <w:tcW w:w="917" w:type="dxa"/>
            <w:tcBorders>
              <w:tl2br w:val="nil"/>
              <w:tr2bl w:val="nil"/>
            </w:tcBorders>
            <w:vAlign w:val="center"/>
          </w:tcPr>
          <w:p>
            <w:pPr>
              <w:pStyle w:val="139"/>
              <w:widowControl/>
              <w:jc w:val="center"/>
              <w:rPr>
                <w:rFonts w:ascii="Times New Roman"/>
                <w:color w:val="auto"/>
                <w:szCs w:val="24"/>
              </w:rPr>
            </w:pPr>
            <w:r>
              <w:rPr>
                <w:rFonts w:hint="eastAsia" w:ascii="Times New Roman"/>
                <w:color w:val="auto"/>
                <w:szCs w:val="24"/>
              </w:rPr>
              <w:t>6</w:t>
            </w:r>
          </w:p>
        </w:tc>
        <w:tc>
          <w:tcPr>
            <w:tcW w:w="1063" w:type="dxa"/>
            <w:tcBorders>
              <w:tl2br w:val="nil"/>
              <w:tr2bl w:val="nil"/>
            </w:tcBorders>
            <w:vAlign w:val="center"/>
          </w:tcPr>
          <w:p>
            <w:pPr>
              <w:pStyle w:val="139"/>
              <w:widowControl/>
              <w:jc w:val="center"/>
              <w:rPr>
                <w:rFonts w:ascii="Times New Roman"/>
                <w:color w:val="auto"/>
                <w:szCs w:val="24"/>
              </w:rPr>
            </w:pPr>
            <w:r>
              <w:rPr>
                <w:rFonts w:hint="eastAsia" w:ascii="Times New Roman"/>
                <w:color w:val="auto"/>
                <w:szCs w:val="24"/>
              </w:rPr>
              <w:t>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8" w:type="dxa"/>
            <w:vMerge w:val="continue"/>
            <w:tcBorders>
              <w:tl2br w:val="nil"/>
              <w:tr2bl w:val="nil"/>
            </w:tcBorders>
            <w:vAlign w:val="center"/>
          </w:tcPr>
          <w:p>
            <w:pPr>
              <w:spacing w:line="360" w:lineRule="auto"/>
              <w:jc w:val="center"/>
            </w:pPr>
          </w:p>
        </w:tc>
        <w:tc>
          <w:tcPr>
            <w:tcW w:w="1238" w:type="dxa"/>
            <w:tcBorders>
              <w:tl2br w:val="nil"/>
              <w:tr2bl w:val="nil"/>
            </w:tcBorders>
            <w:vAlign w:val="center"/>
          </w:tcPr>
          <w:p>
            <w:pPr>
              <w:pStyle w:val="139"/>
              <w:jc w:val="center"/>
              <w:rPr>
                <w:rFonts w:ascii="Times New Roman"/>
              </w:rPr>
            </w:pPr>
            <w:r>
              <w:rPr>
                <w:rFonts w:ascii="Times New Roman"/>
              </w:rPr>
              <w:t>30.4</w:t>
            </w:r>
          </w:p>
        </w:tc>
        <w:tc>
          <w:tcPr>
            <w:tcW w:w="1624" w:type="dxa"/>
            <w:tcBorders>
              <w:tl2br w:val="nil"/>
              <w:tr2bl w:val="nil"/>
            </w:tcBorders>
            <w:vAlign w:val="center"/>
          </w:tcPr>
          <w:p>
            <w:pPr>
              <w:pStyle w:val="139"/>
              <w:jc w:val="center"/>
              <w:rPr>
                <w:rFonts w:ascii="Times New Roman"/>
              </w:rPr>
            </w:pPr>
            <w:r>
              <w:rPr>
                <w:rFonts w:ascii="Times New Roman"/>
              </w:rPr>
              <w:t>100.4</w:t>
            </w:r>
          </w:p>
        </w:tc>
        <w:tc>
          <w:tcPr>
            <w:tcW w:w="1003" w:type="dxa"/>
            <w:tcBorders>
              <w:tl2br w:val="nil"/>
              <w:tr2bl w:val="nil"/>
            </w:tcBorders>
          </w:tcPr>
          <w:p>
            <w:pPr>
              <w:spacing w:line="360" w:lineRule="auto"/>
              <w:jc w:val="center"/>
              <w:rPr>
                <w:highlight w:val="yellow"/>
              </w:rPr>
            </w:pPr>
            <w:r>
              <w:rPr>
                <w:rFonts w:hint="eastAsia"/>
              </w:rPr>
              <w:t>西</w:t>
            </w:r>
          </w:p>
        </w:tc>
        <w:tc>
          <w:tcPr>
            <w:tcW w:w="1408" w:type="dxa"/>
            <w:tcBorders>
              <w:tl2br w:val="nil"/>
              <w:tr2bl w:val="nil"/>
            </w:tcBorders>
            <w:vAlign w:val="center"/>
          </w:tcPr>
          <w:p>
            <w:pPr>
              <w:pStyle w:val="139"/>
              <w:jc w:val="center"/>
              <w:rPr>
                <w:rFonts w:ascii="Times New Roman"/>
              </w:rPr>
            </w:pPr>
            <w:r>
              <w:rPr>
                <w:rFonts w:ascii="Times New Roman"/>
              </w:rPr>
              <w:t>1.8</w:t>
            </w:r>
          </w:p>
        </w:tc>
        <w:tc>
          <w:tcPr>
            <w:tcW w:w="917" w:type="dxa"/>
            <w:tcBorders>
              <w:tl2br w:val="nil"/>
              <w:tr2bl w:val="nil"/>
            </w:tcBorders>
            <w:vAlign w:val="center"/>
          </w:tcPr>
          <w:p>
            <w:pPr>
              <w:pStyle w:val="139"/>
              <w:jc w:val="center"/>
              <w:rPr>
                <w:rFonts w:ascii="Times New Roman"/>
              </w:rPr>
            </w:pPr>
            <w:r>
              <w:rPr>
                <w:rFonts w:hint="eastAsia" w:ascii="Times New Roman"/>
              </w:rPr>
              <w:t>5</w:t>
            </w:r>
          </w:p>
        </w:tc>
        <w:tc>
          <w:tcPr>
            <w:tcW w:w="1063" w:type="dxa"/>
            <w:tcBorders>
              <w:tl2br w:val="nil"/>
              <w:tr2bl w:val="nil"/>
            </w:tcBorders>
            <w:vAlign w:val="center"/>
          </w:tcPr>
          <w:p>
            <w:pPr>
              <w:pStyle w:val="139"/>
              <w:jc w:val="center"/>
              <w:rPr>
                <w:rFonts w:ascii="Times New Roman"/>
              </w:rPr>
            </w:pPr>
            <w:r>
              <w:rPr>
                <w:rFonts w:hint="eastAsia" w:ascii="Times New Roman"/>
              </w:rPr>
              <w:t>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8" w:type="dxa"/>
            <w:vMerge w:val="continue"/>
            <w:tcBorders>
              <w:tl2br w:val="nil"/>
              <w:tr2bl w:val="nil"/>
            </w:tcBorders>
            <w:vAlign w:val="center"/>
          </w:tcPr>
          <w:p>
            <w:pPr>
              <w:spacing w:line="360" w:lineRule="auto"/>
              <w:jc w:val="center"/>
            </w:pPr>
          </w:p>
        </w:tc>
        <w:tc>
          <w:tcPr>
            <w:tcW w:w="1238" w:type="dxa"/>
            <w:tcBorders>
              <w:tl2br w:val="nil"/>
              <w:tr2bl w:val="nil"/>
            </w:tcBorders>
            <w:vAlign w:val="center"/>
          </w:tcPr>
          <w:p>
            <w:pPr>
              <w:pStyle w:val="139"/>
              <w:jc w:val="center"/>
              <w:rPr>
                <w:rFonts w:ascii="Times New Roman"/>
              </w:rPr>
            </w:pPr>
            <w:r>
              <w:rPr>
                <w:rFonts w:ascii="Times New Roman"/>
              </w:rPr>
              <w:t>31.5</w:t>
            </w:r>
          </w:p>
        </w:tc>
        <w:tc>
          <w:tcPr>
            <w:tcW w:w="1624" w:type="dxa"/>
            <w:tcBorders>
              <w:tl2br w:val="nil"/>
              <w:tr2bl w:val="nil"/>
            </w:tcBorders>
            <w:vAlign w:val="center"/>
          </w:tcPr>
          <w:p>
            <w:pPr>
              <w:pStyle w:val="139"/>
              <w:jc w:val="center"/>
              <w:rPr>
                <w:rFonts w:ascii="Times New Roman"/>
              </w:rPr>
            </w:pPr>
            <w:r>
              <w:rPr>
                <w:rFonts w:ascii="Times New Roman"/>
              </w:rPr>
              <w:t>100.4</w:t>
            </w:r>
          </w:p>
        </w:tc>
        <w:tc>
          <w:tcPr>
            <w:tcW w:w="1003" w:type="dxa"/>
            <w:tcBorders>
              <w:tl2br w:val="nil"/>
              <w:tr2bl w:val="nil"/>
            </w:tcBorders>
          </w:tcPr>
          <w:p>
            <w:pPr>
              <w:spacing w:line="360" w:lineRule="auto"/>
              <w:jc w:val="center"/>
              <w:rPr>
                <w:highlight w:val="yellow"/>
              </w:rPr>
            </w:pPr>
            <w:r>
              <w:rPr>
                <w:rFonts w:hint="eastAsia"/>
              </w:rPr>
              <w:t>西</w:t>
            </w:r>
          </w:p>
        </w:tc>
        <w:tc>
          <w:tcPr>
            <w:tcW w:w="1408" w:type="dxa"/>
            <w:tcBorders>
              <w:tl2br w:val="nil"/>
              <w:tr2bl w:val="nil"/>
            </w:tcBorders>
            <w:vAlign w:val="center"/>
          </w:tcPr>
          <w:p>
            <w:pPr>
              <w:pStyle w:val="139"/>
              <w:jc w:val="center"/>
              <w:rPr>
                <w:rFonts w:ascii="Times New Roman"/>
              </w:rPr>
            </w:pPr>
            <w:r>
              <w:rPr>
                <w:rFonts w:ascii="Times New Roman"/>
              </w:rPr>
              <w:t>1.6</w:t>
            </w:r>
          </w:p>
        </w:tc>
        <w:tc>
          <w:tcPr>
            <w:tcW w:w="917" w:type="dxa"/>
            <w:tcBorders>
              <w:tl2br w:val="nil"/>
              <w:tr2bl w:val="nil"/>
            </w:tcBorders>
            <w:vAlign w:val="center"/>
          </w:tcPr>
          <w:p>
            <w:pPr>
              <w:pStyle w:val="139"/>
              <w:jc w:val="center"/>
              <w:rPr>
                <w:rFonts w:ascii="Times New Roman"/>
              </w:rPr>
            </w:pPr>
            <w:r>
              <w:rPr>
                <w:rFonts w:hint="eastAsia" w:ascii="Times New Roman"/>
              </w:rPr>
              <w:t>6</w:t>
            </w:r>
          </w:p>
        </w:tc>
        <w:tc>
          <w:tcPr>
            <w:tcW w:w="1063" w:type="dxa"/>
            <w:tcBorders>
              <w:tl2br w:val="nil"/>
              <w:tr2bl w:val="nil"/>
            </w:tcBorders>
            <w:vAlign w:val="center"/>
          </w:tcPr>
          <w:p>
            <w:pPr>
              <w:pStyle w:val="139"/>
              <w:jc w:val="center"/>
              <w:rPr>
                <w:rFonts w:ascii="Times New Roman"/>
              </w:rPr>
            </w:pPr>
            <w:r>
              <w:rPr>
                <w:rFonts w:hint="eastAsia" w:ascii="Times New Roman"/>
              </w:rPr>
              <w:t>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8" w:type="dxa"/>
            <w:vMerge w:val="continue"/>
            <w:tcBorders>
              <w:tl2br w:val="nil"/>
              <w:tr2bl w:val="nil"/>
            </w:tcBorders>
            <w:vAlign w:val="center"/>
          </w:tcPr>
          <w:p>
            <w:pPr>
              <w:spacing w:line="360" w:lineRule="auto"/>
              <w:jc w:val="center"/>
              <w:rPr>
                <w:highlight w:val="yellow"/>
              </w:rPr>
            </w:pPr>
          </w:p>
        </w:tc>
        <w:tc>
          <w:tcPr>
            <w:tcW w:w="1238" w:type="dxa"/>
            <w:tcBorders>
              <w:tl2br w:val="nil"/>
              <w:tr2bl w:val="nil"/>
            </w:tcBorders>
            <w:vAlign w:val="center"/>
          </w:tcPr>
          <w:p>
            <w:pPr>
              <w:pStyle w:val="139"/>
              <w:jc w:val="center"/>
              <w:rPr>
                <w:rFonts w:ascii="Times New Roman"/>
              </w:rPr>
            </w:pPr>
            <w:r>
              <w:rPr>
                <w:rFonts w:ascii="Times New Roman"/>
              </w:rPr>
              <w:t>31.8</w:t>
            </w:r>
          </w:p>
        </w:tc>
        <w:tc>
          <w:tcPr>
            <w:tcW w:w="1624" w:type="dxa"/>
            <w:tcBorders>
              <w:tl2br w:val="nil"/>
              <w:tr2bl w:val="nil"/>
            </w:tcBorders>
            <w:vAlign w:val="center"/>
          </w:tcPr>
          <w:p>
            <w:pPr>
              <w:pStyle w:val="139"/>
              <w:jc w:val="center"/>
              <w:rPr>
                <w:rFonts w:ascii="Times New Roman"/>
              </w:rPr>
            </w:pPr>
            <w:r>
              <w:rPr>
                <w:rFonts w:ascii="Times New Roman"/>
              </w:rPr>
              <w:t>100.4</w:t>
            </w:r>
          </w:p>
        </w:tc>
        <w:tc>
          <w:tcPr>
            <w:tcW w:w="1003" w:type="dxa"/>
            <w:tcBorders>
              <w:tl2br w:val="nil"/>
              <w:tr2bl w:val="nil"/>
            </w:tcBorders>
          </w:tcPr>
          <w:p>
            <w:pPr>
              <w:spacing w:line="360" w:lineRule="auto"/>
              <w:jc w:val="center"/>
              <w:rPr>
                <w:highlight w:val="yellow"/>
              </w:rPr>
            </w:pPr>
            <w:r>
              <w:rPr>
                <w:rFonts w:hint="eastAsia"/>
              </w:rPr>
              <w:t>西</w:t>
            </w:r>
          </w:p>
        </w:tc>
        <w:tc>
          <w:tcPr>
            <w:tcW w:w="1408" w:type="dxa"/>
            <w:tcBorders>
              <w:tl2br w:val="nil"/>
              <w:tr2bl w:val="nil"/>
            </w:tcBorders>
            <w:vAlign w:val="center"/>
          </w:tcPr>
          <w:p>
            <w:pPr>
              <w:pStyle w:val="139"/>
              <w:jc w:val="center"/>
              <w:rPr>
                <w:rFonts w:ascii="Times New Roman"/>
              </w:rPr>
            </w:pPr>
            <w:r>
              <w:rPr>
                <w:rFonts w:ascii="Times New Roman"/>
              </w:rPr>
              <w:t>1.9</w:t>
            </w:r>
          </w:p>
        </w:tc>
        <w:tc>
          <w:tcPr>
            <w:tcW w:w="917" w:type="dxa"/>
            <w:tcBorders>
              <w:tl2br w:val="nil"/>
              <w:tr2bl w:val="nil"/>
            </w:tcBorders>
            <w:vAlign w:val="center"/>
          </w:tcPr>
          <w:p>
            <w:pPr>
              <w:pStyle w:val="139"/>
              <w:jc w:val="center"/>
              <w:rPr>
                <w:rFonts w:ascii="Times New Roman"/>
              </w:rPr>
            </w:pPr>
            <w:r>
              <w:rPr>
                <w:rFonts w:hint="eastAsia" w:ascii="Times New Roman"/>
              </w:rPr>
              <w:t>5</w:t>
            </w:r>
          </w:p>
        </w:tc>
        <w:tc>
          <w:tcPr>
            <w:tcW w:w="1063" w:type="dxa"/>
            <w:tcBorders>
              <w:tl2br w:val="nil"/>
              <w:tr2bl w:val="nil"/>
            </w:tcBorders>
            <w:vAlign w:val="center"/>
          </w:tcPr>
          <w:p>
            <w:pPr>
              <w:pStyle w:val="139"/>
              <w:jc w:val="center"/>
              <w:rPr>
                <w:rFonts w:ascii="Times New Roman"/>
              </w:rPr>
            </w:pPr>
            <w:r>
              <w:rPr>
                <w:rFonts w:hint="eastAsia" w:ascii="Times New Roman"/>
              </w:rPr>
              <w:t>0</w:t>
            </w:r>
          </w:p>
        </w:tc>
      </w:tr>
    </w:tbl>
    <w:p>
      <w:pPr>
        <w:spacing w:line="360" w:lineRule="auto"/>
        <w:contextualSpacing/>
        <w:rPr>
          <w:b/>
          <w:sz w:val="24"/>
          <w:szCs w:val="24"/>
        </w:rPr>
      </w:pPr>
      <w:r>
        <w:drawing>
          <wp:anchor distT="0" distB="0" distL="114300" distR="114300" simplePos="0" relativeHeight="251681792" behindDoc="0" locked="0" layoutInCell="1" allowOverlap="1">
            <wp:simplePos x="0" y="0"/>
            <wp:positionH relativeFrom="column">
              <wp:posOffset>675640</wp:posOffset>
            </wp:positionH>
            <wp:positionV relativeFrom="paragraph">
              <wp:posOffset>265430</wp:posOffset>
            </wp:positionV>
            <wp:extent cx="3562350" cy="3141980"/>
            <wp:effectExtent l="0" t="0" r="0" b="1270"/>
            <wp:wrapSquare wrapText="bothSides"/>
            <wp:docPr id="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
                    <pic:cNvPicPr>
                      <a:picLocks noChangeAspect="1"/>
                    </pic:cNvPicPr>
                  </pic:nvPicPr>
                  <pic:blipFill>
                    <a:blip r:embed="rId54"/>
                    <a:stretch>
                      <a:fillRect/>
                    </a:stretch>
                  </pic:blipFill>
                  <pic:spPr>
                    <a:xfrm>
                      <a:off x="0" y="0"/>
                      <a:ext cx="3562350" cy="3141980"/>
                    </a:xfrm>
                    <a:prstGeom prst="rect">
                      <a:avLst/>
                    </a:prstGeom>
                    <a:noFill/>
                    <a:ln>
                      <a:noFill/>
                    </a:ln>
                  </pic:spPr>
                </pic:pic>
              </a:graphicData>
            </a:graphic>
          </wp:anchor>
        </w:drawing>
      </w:r>
    </w:p>
    <w:p>
      <w:pPr>
        <w:spacing w:line="360" w:lineRule="auto"/>
        <w:contextualSpacing/>
        <w:rPr>
          <w:b/>
          <w:sz w:val="24"/>
          <w:szCs w:val="24"/>
        </w:rPr>
      </w:pPr>
      <w:r>
        <w:rPr>
          <w:sz w:val="24"/>
        </w:rPr>
        <mc:AlternateContent>
          <mc:Choice Requires="wps">
            <w:drawing>
              <wp:anchor distT="0" distB="0" distL="114300" distR="114300" simplePos="0" relativeHeight="251694080" behindDoc="0" locked="0" layoutInCell="1" allowOverlap="1">
                <wp:simplePos x="0" y="0"/>
                <wp:positionH relativeFrom="column">
                  <wp:posOffset>2809875</wp:posOffset>
                </wp:positionH>
                <wp:positionV relativeFrom="paragraph">
                  <wp:posOffset>142240</wp:posOffset>
                </wp:positionV>
                <wp:extent cx="727075" cy="471805"/>
                <wp:effectExtent l="0" t="0" r="0" b="0"/>
                <wp:wrapNone/>
                <wp:docPr id="66" name="矩形 66"/>
                <wp:cNvGraphicFramePr/>
                <a:graphic xmlns:a="http://schemas.openxmlformats.org/drawingml/2006/main">
                  <a:graphicData uri="http://schemas.microsoft.com/office/word/2010/wordprocessingShape">
                    <wps:wsp>
                      <wps:cNvSpPr/>
                      <wps:spPr>
                        <a:xfrm>
                          <a:off x="0" y="0"/>
                          <a:ext cx="727075" cy="47180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4#</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21.25pt;margin-top:11.2pt;height:37.15pt;width:57.25pt;z-index:251694080;v-text-anchor:middle;mso-width-relative:page;mso-height-relative:page;" filled="f" stroked="f" coordsize="21600,21600" o:gfxdata="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tdkRl2AAAAAkB&#10;AAAPAAAAAAAAAAEAIAAAACIAAABkcnMvZG93bnJldi54bWxQSwECFAAUAAAACACHTuJAxrG27lQC&#10;AACXBAAADgAAAAAAAAABACAAAAAnAQAAZHJzL2Uyb0RvYy54bWxQSwUGAAAAAAYABgBZAQAA7QUA&#10;AAAA&#10;">
                <v:fill on="f" focussize="0,0"/>
                <v:stroke on="f" weight="2pt"/>
                <v:imagedata o:title=""/>
                <o:lock v:ext="edit" aspectratio="f"/>
                <v:textbo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4#</w:t>
                      </w:r>
                    </w:p>
                  </w:txbxContent>
                </v:textbox>
              </v:rect>
            </w:pict>
          </mc:Fallback>
        </mc:AlternateContent>
      </w:r>
      <w:r>
        <w:rPr>
          <w:sz w:val="24"/>
        </w:rPr>
        <mc:AlternateContent>
          <mc:Choice Requires="wps">
            <w:drawing>
              <wp:anchor distT="0" distB="0" distL="114300" distR="114300" simplePos="0" relativeHeight="251693056" behindDoc="0" locked="0" layoutInCell="1" allowOverlap="1">
                <wp:simplePos x="0" y="0"/>
                <wp:positionH relativeFrom="column">
                  <wp:posOffset>1629410</wp:posOffset>
                </wp:positionH>
                <wp:positionV relativeFrom="paragraph">
                  <wp:posOffset>147320</wp:posOffset>
                </wp:positionV>
                <wp:extent cx="697230" cy="412115"/>
                <wp:effectExtent l="0" t="0" r="0" b="0"/>
                <wp:wrapNone/>
                <wp:docPr id="65" name="矩形 65"/>
                <wp:cNvGraphicFramePr/>
                <a:graphic xmlns:a="http://schemas.openxmlformats.org/drawingml/2006/main">
                  <a:graphicData uri="http://schemas.microsoft.com/office/word/2010/wordprocessingShape">
                    <wps:wsp>
                      <wps:cNvSpPr/>
                      <wps:spPr>
                        <a:xfrm>
                          <a:off x="0" y="0"/>
                          <a:ext cx="697230" cy="41211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8.3pt;margin-top:11.6pt;height:32.45pt;width:54.9pt;z-index:251693056;v-text-anchor:middle;mso-width-relative:page;mso-height-relative:page;" filled="f" stroked="f" coordsize="21600,21600" o:gfxdata="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PmnKTXYAAAACQEA&#10;AA8AAAAAAAAAAQAgAAAAIgAAAGRycy9kb3ducmV2LnhtbFBLAQIUABQAAAAIAIdO4kD6HL0CUwIA&#10;AJcEAAAOAAAAAAAAAAEAIAAAACcBAABkcnMvZTJvRG9jLnhtbFBLBQYAAAAABgAGAFkBAADsBQAA&#10;AAA=&#10;">
                <v:fill on="f" focussize="0,0"/>
                <v:stroke on="f" weight="2pt"/>
                <v:imagedata o:title=""/>
                <o:lock v:ext="edit" aspectratio="f"/>
                <v:textbo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3#</w:t>
                      </w:r>
                    </w:p>
                  </w:txbxContent>
                </v:textbox>
              </v:rect>
            </w:pict>
          </mc:Fallback>
        </mc:AlternateContent>
      </w:r>
      <w:r>
        <w:rPr>
          <w:sz w:val="24"/>
        </w:rPr>
        <mc:AlternateContent>
          <mc:Choice Requires="wps">
            <w:drawing>
              <wp:anchor distT="0" distB="0" distL="114300" distR="114300" simplePos="0" relativeHeight="251692032" behindDoc="0" locked="0" layoutInCell="1" allowOverlap="1">
                <wp:simplePos x="0" y="0"/>
                <wp:positionH relativeFrom="column">
                  <wp:posOffset>1048385</wp:posOffset>
                </wp:positionH>
                <wp:positionV relativeFrom="paragraph">
                  <wp:posOffset>160020</wp:posOffset>
                </wp:positionV>
                <wp:extent cx="697230" cy="412115"/>
                <wp:effectExtent l="0" t="0" r="0" b="0"/>
                <wp:wrapNone/>
                <wp:docPr id="64" name="矩形 64"/>
                <wp:cNvGraphicFramePr/>
                <a:graphic xmlns:a="http://schemas.openxmlformats.org/drawingml/2006/main">
                  <a:graphicData uri="http://schemas.microsoft.com/office/word/2010/wordprocessingShape">
                    <wps:wsp>
                      <wps:cNvSpPr/>
                      <wps:spPr>
                        <a:xfrm>
                          <a:off x="0" y="0"/>
                          <a:ext cx="697230" cy="41211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82.55pt;margin-top:12.6pt;height:32.45pt;width:54.9pt;z-index:251692032;v-text-anchor:middle;mso-width-relative:page;mso-height-relative:page;" filled="f" stroked="f" coordsize="21600,21600" o:gfxdata="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LIxrwNgAAAAJAQAA&#10;DwAAAAAAAAABACAAAAAiAAAAZHJzL2Rvd25yZXYueG1sUEsBAhQAFAAAAAgAh07iQGZHihBSAgAA&#10;lwQAAA4AAAAAAAAAAQAgAAAAJwEAAGRycy9lMm9Eb2MueG1sUEsFBgAAAAAGAAYAWQEAAOsFAAAA&#10;AA==&#10;">
                <v:fill on="f" focussize="0,0"/>
                <v:stroke on="f" weight="2pt"/>
                <v:imagedata o:title=""/>
                <o:lock v:ext="edit" aspectratio="f"/>
                <v:textbo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2#</w:t>
                      </w:r>
                    </w:p>
                  </w:txbxContent>
                </v:textbox>
              </v:rect>
            </w:pict>
          </mc:Fallback>
        </mc:AlternateContent>
      </w:r>
    </w:p>
    <w:p>
      <w:pPr>
        <w:spacing w:line="360" w:lineRule="auto"/>
        <w:contextualSpacing/>
        <w:rPr>
          <w:b/>
          <w:sz w:val="24"/>
          <w:szCs w:val="24"/>
        </w:rPr>
      </w:pPr>
      <w:r>
        <mc:AlternateContent>
          <mc:Choice Requires="wps">
            <w:drawing>
              <wp:anchor distT="0" distB="0" distL="114300" distR="114300" simplePos="0" relativeHeight="251689984" behindDoc="0" locked="0" layoutInCell="1" allowOverlap="1">
                <wp:simplePos x="0" y="0"/>
                <wp:positionH relativeFrom="column">
                  <wp:posOffset>2087245</wp:posOffset>
                </wp:positionH>
                <wp:positionV relativeFrom="paragraph">
                  <wp:posOffset>28575</wp:posOffset>
                </wp:positionV>
                <wp:extent cx="126365" cy="113030"/>
                <wp:effectExtent l="4445" t="4445" r="21590" b="15875"/>
                <wp:wrapNone/>
                <wp:docPr id="62" name="AutoShape 116"/>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flowChartConnector">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AutoShape 116" o:spid="_x0000_s1026" o:spt="120" type="#_x0000_t120" style="position:absolute;left:0pt;margin-left:164.35pt;margin-top:2.25pt;height:8.9pt;width:9.95pt;z-index:251689984;mso-width-relative:page;mso-height-relative:page;" fillcolor="#FFFFFF" filled="t" stroked="t" coordsize="21600,21600" o:gfxdata="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9oflP2AAAAAgBAAAPAAAAAAAAAAEAIAAAACIAAABkcnMvZG93bnJldi54bWxQSwEC&#10;FAAUAAAACACHTuJAbk1kdi0CAAB1BAAADgAAAAAAAAABACAAAAAnAQAAZHJzL2Uyb0RvYy54bWxQ&#10;SwUGAAAAAAYABgBZAQAAxgUAAAAA&#10;">
                <v:fill on="t" focussize="0,0"/>
                <v:stroke color="#000000" joinstyle="round"/>
                <v:imagedata o:title=""/>
                <o:lock v:ext="edit" aspectratio="f"/>
              </v:shape>
            </w:pict>
          </mc:Fallback>
        </mc:AlternateContent>
      </w:r>
      <w:r>
        <mc:AlternateContent>
          <mc:Choice Requires="wps">
            <w:drawing>
              <wp:anchor distT="0" distB="0" distL="114300" distR="114300" simplePos="0" relativeHeight="251688960" behindDoc="0" locked="0" layoutInCell="1" allowOverlap="1">
                <wp:simplePos x="0" y="0"/>
                <wp:positionH relativeFrom="column">
                  <wp:posOffset>1546225</wp:posOffset>
                </wp:positionH>
                <wp:positionV relativeFrom="paragraph">
                  <wp:posOffset>28575</wp:posOffset>
                </wp:positionV>
                <wp:extent cx="126365" cy="113030"/>
                <wp:effectExtent l="4445" t="4445" r="21590" b="15875"/>
                <wp:wrapNone/>
                <wp:docPr id="61" name="AutoShape 116"/>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flowChartConnector">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AutoShape 116" o:spid="_x0000_s1026" o:spt="120" type="#_x0000_t120" style="position:absolute;left:0pt;margin-left:121.75pt;margin-top:2.25pt;height:8.9pt;width:9.95pt;z-index:251688960;mso-width-relative:page;mso-height-relative:page;" fillcolor="#FFFFFF" filled="t" stroked="t" coordsize="21600,21600" o:gfxdata="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Mgvzx3YAAAACAEAAA8AAAAAAAAAAQAgAAAAIgAAAGRycy9kb3ducmV2LnhtbFBLAQIU&#10;ABQAAAAIAIdO4kCvBj2HLAIAAHUEAAAOAAAAAAAAAAEAIAAAACcBAABkcnMvZTJvRG9jLnhtbFBL&#10;BQYAAAAABgAGAFkBAADFBQAAAAA=&#10;">
                <v:fill on="t" focussize="0,0"/>
                <v:stroke color="#000000" joinstyle="round"/>
                <v:imagedata o:title=""/>
                <o:lock v:ext="edit" aspectratio="f"/>
              </v:shape>
            </w:pict>
          </mc:Fallback>
        </mc:AlternateContent>
      </w:r>
      <w:r>
        <mc:AlternateContent>
          <mc:Choice Requires="wps">
            <w:drawing>
              <wp:anchor distT="0" distB="0" distL="114300" distR="114300" simplePos="0" relativeHeight="251691008" behindDoc="0" locked="0" layoutInCell="1" allowOverlap="1">
                <wp:simplePos x="0" y="0"/>
                <wp:positionH relativeFrom="column">
                  <wp:posOffset>2941320</wp:posOffset>
                </wp:positionH>
                <wp:positionV relativeFrom="paragraph">
                  <wp:posOffset>35560</wp:posOffset>
                </wp:positionV>
                <wp:extent cx="126365" cy="113030"/>
                <wp:effectExtent l="4445" t="4445" r="21590" b="15875"/>
                <wp:wrapNone/>
                <wp:docPr id="63" name="AutoShape 116"/>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flowChartConnector">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AutoShape 116" o:spid="_x0000_s1026" o:spt="120" type="#_x0000_t120" style="position:absolute;left:0pt;margin-left:231.6pt;margin-top:2.8pt;height:8.9pt;width:9.95pt;z-index:251691008;mso-width-relative:page;mso-height-relative:page;" fillcolor="#FFFFFF" filled="t" stroked="t" coordsize="21600,21600" o:gfxdata="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HkTJybXAAAACAEAAA8AAAAAAAAAAQAgAAAAIgAAAGRycy9kb3ducmV2LnhtbFBLAQIU&#10;ABQAAAAIAIdO4kDRi6wmLQIAAHUEAAAOAAAAAAAAAAEAIAAAACYBAABkcnMvZTJvRG9jLnhtbFBL&#10;BQYAAAAABgAGAFkBAADFBQAAAAA=&#10;">
                <v:fill on="t" focussize="0,0"/>
                <v:stroke color="#000000" joinstyle="round"/>
                <v:imagedata o:title=""/>
                <o:lock v:ext="edit" aspectratio="f"/>
              </v:shape>
            </w:pict>
          </mc:Fallback>
        </mc:AlternateContent>
      </w:r>
      <w:r>
        <w:rPr>
          <w:sz w:val="20"/>
          <w:szCs w:val="20"/>
        </w:rPr>
        <mc:AlternateContent>
          <mc:Choice Requires="wps">
            <w:drawing>
              <wp:anchor distT="0" distB="0" distL="114300" distR="114300" simplePos="0" relativeHeight="251683840" behindDoc="0" locked="0" layoutInCell="1" allowOverlap="1">
                <wp:simplePos x="0" y="0"/>
                <wp:positionH relativeFrom="column">
                  <wp:posOffset>2618740</wp:posOffset>
                </wp:positionH>
                <wp:positionV relativeFrom="paragraph">
                  <wp:posOffset>40640</wp:posOffset>
                </wp:positionV>
                <wp:extent cx="132715" cy="132715"/>
                <wp:effectExtent l="4445" t="10795" r="15240" b="8890"/>
                <wp:wrapNone/>
                <wp:docPr id="55" name="AutoShape 111"/>
                <wp:cNvGraphicFramePr/>
                <a:graphic xmlns:a="http://schemas.openxmlformats.org/drawingml/2006/main">
                  <a:graphicData uri="http://schemas.microsoft.com/office/word/2010/wordprocessingShape">
                    <wps:wsp>
                      <wps:cNvSpPr>
                        <a:spLocks noChangeArrowheads="1"/>
                      </wps:cNvSpPr>
                      <wps:spPr bwMode="auto">
                        <a:xfrm rot="-143046">
                          <a:off x="0" y="0"/>
                          <a:ext cx="132715" cy="132715"/>
                        </a:xfrm>
                        <a:prstGeom prst="triangle">
                          <a:avLst>
                            <a:gd name="adj" fmla="val 50000"/>
                          </a:avLst>
                        </a:prstGeom>
                        <a:solidFill>
                          <a:schemeClr val="tx1">
                            <a:lumMod val="100000"/>
                            <a:lumOff val="0"/>
                          </a:schemeClr>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AutoShape 111" o:spid="_x0000_s1026" o:spt="5" type="#_x0000_t5" style="position:absolute;left:0pt;margin-left:206.2pt;margin-top:3.2pt;height:10.45pt;width:10.45pt;rotation:-156244f;z-index:251683840;mso-width-relative:page;mso-height-relative:page;" fillcolor="#000000 [3229]" filled="t" stroked="t" coordsize="21600,21600" o:gfxdata="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Cr&#10;IiSQ1gAAAAgBAAAPAAAAAAAAAAEAIAAAACIAAABkcnMvZG93bnJldi54bWxQSwECFAAUAAAACACH&#10;TuJAC4DmSV8CAADoBAAADgAAAAAAAAABACAAAAAlAQAAZHJzL2Uyb0RvYy54bWxQSwUGAAAAAAYA&#10;BgBZAQAA9gUAAAAA&#10;" adj="10800">
                <v:fill on="t" focussize="0,0"/>
                <v:stroke color="#000000" miterlimit="8" joinstyle="miter"/>
                <v:imagedata o:title=""/>
                <o:lock v:ext="edit" aspectratio="f"/>
              </v:shape>
            </w:pict>
          </mc:Fallback>
        </mc:AlternateContent>
      </w:r>
    </w:p>
    <w:p>
      <w:pPr>
        <w:spacing w:line="360" w:lineRule="auto"/>
        <w:contextualSpacing/>
        <w:rPr>
          <w:b/>
          <w:sz w:val="24"/>
          <w:szCs w:val="24"/>
        </w:rPr>
      </w:pPr>
    </w:p>
    <w:p>
      <w:pPr>
        <w:spacing w:line="360" w:lineRule="auto"/>
        <w:contextualSpacing/>
        <w:rPr>
          <w:b/>
          <w:sz w:val="24"/>
          <w:szCs w:val="24"/>
        </w:rPr>
      </w:pPr>
      <w:r>
        <w:rPr>
          <w:sz w:val="20"/>
          <w:szCs w:val="20"/>
        </w:rPr>
        <mc:AlternateContent>
          <mc:Choice Requires="wps">
            <w:drawing>
              <wp:anchor distT="0" distB="0" distL="114300" distR="114300" simplePos="0" relativeHeight="251682816" behindDoc="0" locked="0" layoutInCell="1" allowOverlap="1">
                <wp:simplePos x="0" y="0"/>
                <wp:positionH relativeFrom="column">
                  <wp:posOffset>3284220</wp:posOffset>
                </wp:positionH>
                <wp:positionV relativeFrom="paragraph">
                  <wp:posOffset>171450</wp:posOffset>
                </wp:positionV>
                <wp:extent cx="132715" cy="132715"/>
                <wp:effectExtent l="4445" t="10795" r="15240" b="8890"/>
                <wp:wrapNone/>
                <wp:docPr id="54" name="AutoShape 111"/>
                <wp:cNvGraphicFramePr/>
                <a:graphic xmlns:a="http://schemas.openxmlformats.org/drawingml/2006/main">
                  <a:graphicData uri="http://schemas.microsoft.com/office/word/2010/wordprocessingShape">
                    <wps:wsp>
                      <wps:cNvSpPr>
                        <a:spLocks noChangeArrowheads="1"/>
                      </wps:cNvSpPr>
                      <wps:spPr bwMode="auto">
                        <a:xfrm rot="-143046">
                          <a:off x="0" y="0"/>
                          <a:ext cx="132715" cy="132715"/>
                        </a:xfrm>
                        <a:prstGeom prst="triangle">
                          <a:avLst>
                            <a:gd name="adj" fmla="val 50000"/>
                          </a:avLst>
                        </a:prstGeom>
                        <a:solidFill>
                          <a:schemeClr val="tx1">
                            <a:lumMod val="100000"/>
                            <a:lumOff val="0"/>
                          </a:schemeClr>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AutoShape 111" o:spid="_x0000_s1026" o:spt="5" type="#_x0000_t5" style="position:absolute;left:0pt;margin-left:258.6pt;margin-top:13.5pt;height:10.45pt;width:10.45pt;rotation:-156244f;z-index:251682816;mso-width-relative:page;mso-height-relative:page;" fillcolor="#000000 [3229]" filled="t" stroked="t" coordsize="21600,21600" o:gfxdata="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E0wfUrXAAAACQEAAA8AAAAAAAAAAQAgAAAAIgAAAGRycy9kb3ducmV2LnhtbFBLAQIUABQAAAAI&#10;AIdO4kAbAj93YAIAAOgEAAAOAAAAAAAAAAEAIAAAACYBAABkcnMvZTJvRG9jLnhtbFBLBQYAAAAA&#10;BgAGAFkBAAD4BQAAAAA=&#10;" adj="10800">
                <v:fill on="t" focussize="0,0"/>
                <v:stroke color="#000000" miterlimit="8" joinstyle="miter"/>
                <v:imagedata o:title=""/>
                <o:lock v:ext="edit" aspectratio="f"/>
              </v:shape>
            </w:pict>
          </mc:Fallback>
        </mc:AlternateContent>
      </w:r>
      <w:r>
        <w:rPr>
          <w:sz w:val="20"/>
          <w:szCs w:val="20"/>
        </w:rPr>
        <mc:AlternateContent>
          <mc:Choice Requires="wps">
            <w:drawing>
              <wp:anchor distT="0" distB="0" distL="114300" distR="114300" simplePos="0" relativeHeight="251685888" behindDoc="0" locked="0" layoutInCell="1" allowOverlap="1">
                <wp:simplePos x="0" y="0"/>
                <wp:positionH relativeFrom="column">
                  <wp:posOffset>1089025</wp:posOffset>
                </wp:positionH>
                <wp:positionV relativeFrom="paragraph">
                  <wp:posOffset>189865</wp:posOffset>
                </wp:positionV>
                <wp:extent cx="118110" cy="132715"/>
                <wp:effectExtent l="4445" t="11430" r="10795" b="8255"/>
                <wp:wrapNone/>
                <wp:docPr id="57" name="AutoShape 111"/>
                <wp:cNvGraphicFramePr/>
                <a:graphic xmlns:a="http://schemas.openxmlformats.org/drawingml/2006/main">
                  <a:graphicData uri="http://schemas.microsoft.com/office/word/2010/wordprocessingShape">
                    <wps:wsp>
                      <wps:cNvSpPr>
                        <a:spLocks noChangeArrowheads="1"/>
                      </wps:cNvSpPr>
                      <wps:spPr bwMode="auto">
                        <a:xfrm rot="-143046">
                          <a:off x="0" y="0"/>
                          <a:ext cx="118110" cy="132715"/>
                        </a:xfrm>
                        <a:prstGeom prst="triangle">
                          <a:avLst>
                            <a:gd name="adj" fmla="val 50000"/>
                          </a:avLst>
                        </a:prstGeom>
                        <a:solidFill>
                          <a:schemeClr val="tx1">
                            <a:lumMod val="100000"/>
                            <a:lumOff val="0"/>
                          </a:schemeClr>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AutoShape 111" o:spid="_x0000_s1026" o:spt="5" type="#_x0000_t5" style="position:absolute;left:0pt;margin-left:85.75pt;margin-top:14.95pt;height:10.45pt;width:9.3pt;rotation:-156244f;z-index:251685888;mso-width-relative:page;mso-height-relative:page;" fillcolor="#000000 [3229]" filled="t" stroked="t" coordsize="21600,21600" o:gfxdata="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MUQVfbWAAAACQEAAA8AAAAAAAAAAQAgAAAAIgAAAGRycy9kb3ducmV2LnhtbFBLAQIUABQAAAAI&#10;AIdO4kCvmLg4YQIAAOgEAAAOAAAAAAAAAAEAIAAAACUBAABkcnMvZTJvRG9jLnhtbFBLBQYAAAAA&#10;BgAGAFkBAAD4BQAAAAA=&#10;" adj="10800">
                <v:fill on="t" focussize="0,0"/>
                <v:stroke color="#000000" miterlimit="8" joinstyle="miter"/>
                <v:imagedata o:title=""/>
                <o:lock v:ext="edit" aspectratio="f"/>
              </v:shape>
            </w:pict>
          </mc:Fallback>
        </mc:AlternateContent>
      </w:r>
    </w:p>
    <w:p>
      <w:pPr>
        <w:spacing w:line="360" w:lineRule="auto"/>
        <w:contextualSpacing/>
        <w:rPr>
          <w:b/>
          <w:sz w:val="24"/>
          <w:szCs w:val="24"/>
        </w:rPr>
      </w:pPr>
    </w:p>
    <w:p>
      <w:pPr>
        <w:spacing w:line="360" w:lineRule="auto"/>
        <w:contextualSpacing/>
        <w:rPr>
          <w:b/>
          <w:sz w:val="24"/>
          <w:szCs w:val="24"/>
        </w:rPr>
      </w:pPr>
      <w:r>
        <w:rPr>
          <w:sz w:val="24"/>
        </w:rPr>
        <mc:AlternateContent>
          <mc:Choice Requires="wps">
            <w:drawing>
              <wp:anchor distT="0" distB="0" distL="114300" distR="114300" simplePos="0" relativeHeight="251687936" behindDoc="0" locked="0" layoutInCell="1" allowOverlap="1">
                <wp:simplePos x="0" y="0"/>
                <wp:positionH relativeFrom="column">
                  <wp:posOffset>1766570</wp:posOffset>
                </wp:positionH>
                <wp:positionV relativeFrom="paragraph">
                  <wp:posOffset>141605</wp:posOffset>
                </wp:positionV>
                <wp:extent cx="996315" cy="576580"/>
                <wp:effectExtent l="0" t="0" r="0" b="0"/>
                <wp:wrapNone/>
                <wp:docPr id="60" name="矩形 60"/>
                <wp:cNvGraphicFramePr/>
                <a:graphic xmlns:a="http://schemas.openxmlformats.org/drawingml/2006/main">
                  <a:graphicData uri="http://schemas.microsoft.com/office/word/2010/wordprocessingShape">
                    <wps:wsp>
                      <wps:cNvSpPr/>
                      <wps:spPr>
                        <a:xfrm>
                          <a:off x="3509010" y="7632065"/>
                          <a:ext cx="996315" cy="5765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39.1pt;margin-top:11.15pt;height:45.4pt;width:78.45pt;z-index:251687936;v-text-anchor:middle;mso-width-relative:page;mso-height-relative:page;" filled="f" stroked="f" coordsize="21600,21600" o:gfxdata="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juBxPdgAAAAKAQAADwAAAAAAAAABACAAAAAiAAAAZHJzL2Rvd25yZXYueG1sUEsBAhQAFAAA&#10;AAgAh07iQIKp1UdhAgAAowQAAA4AAAAAAAAAAQAgAAAAJwEAAGRycy9lMm9Eb2MueG1sUEsFBgAA&#10;AAAGAAYAWQEAAPoFAAAAAA==&#10;">
                <v:fill on="f" focussize="0,0"/>
                <v:stroke on="f" weight="2pt"/>
                <v:imagedata o:title=""/>
                <o:lock v:ext="edit" aspectratio="f"/>
                <v:textbo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1#</w:t>
                      </w:r>
                    </w:p>
                  </w:txbxContent>
                </v:textbox>
              </v:rect>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2266315</wp:posOffset>
                </wp:positionH>
                <wp:positionV relativeFrom="paragraph">
                  <wp:posOffset>219710</wp:posOffset>
                </wp:positionV>
                <wp:extent cx="126365" cy="113030"/>
                <wp:effectExtent l="4445" t="4445" r="21590" b="15875"/>
                <wp:wrapNone/>
                <wp:docPr id="58" name="AutoShape 116"/>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flowChartConnector">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AutoShape 116" o:spid="_x0000_s1026" o:spt="120" type="#_x0000_t120" style="position:absolute;left:0pt;margin-left:178.45pt;margin-top:17.3pt;height:8.9pt;width:9.95pt;z-index:251686912;mso-width-relative:page;mso-height-relative:page;" fillcolor="#FFFFFF" filled="t" stroked="t" coordsize="21600,21600" o:gfxdata="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Ks4j62QAAAAkBAAAPAAAAAAAAAAEAIAAAACIAAABkcnMvZG93bnJldi54bWxQSwEC&#10;FAAUAAAACACHTuJARlSy0CwCAAB1BAAADgAAAAAAAAABACAAAAAoAQAAZHJzL2Uyb0RvYy54bWxQ&#10;SwUGAAAAAAYABgBZAQAAxgUAAAAA&#10;">
                <v:fill on="t" focussize="0,0"/>
                <v:stroke color="#000000" joinstyle="round"/>
                <v:imagedata o:title=""/>
                <o:lock v:ext="edit" aspectratio="f"/>
              </v:shape>
            </w:pict>
          </mc:Fallback>
        </mc:AlternateContent>
      </w:r>
      <w:r>
        <w:rPr>
          <w:sz w:val="20"/>
          <w:szCs w:val="20"/>
        </w:rPr>
        <mc:AlternateContent>
          <mc:Choice Requires="wps">
            <w:drawing>
              <wp:anchor distT="0" distB="0" distL="114300" distR="114300" simplePos="0" relativeHeight="251684864" behindDoc="0" locked="0" layoutInCell="1" allowOverlap="1">
                <wp:simplePos x="0" y="0"/>
                <wp:positionH relativeFrom="column">
                  <wp:posOffset>2506345</wp:posOffset>
                </wp:positionH>
                <wp:positionV relativeFrom="paragraph">
                  <wp:posOffset>202565</wp:posOffset>
                </wp:positionV>
                <wp:extent cx="132715" cy="132715"/>
                <wp:effectExtent l="4445" t="10795" r="15240" b="8890"/>
                <wp:wrapNone/>
                <wp:docPr id="56" name="AutoShape 111"/>
                <wp:cNvGraphicFramePr/>
                <a:graphic xmlns:a="http://schemas.openxmlformats.org/drawingml/2006/main">
                  <a:graphicData uri="http://schemas.microsoft.com/office/word/2010/wordprocessingShape">
                    <wps:wsp>
                      <wps:cNvSpPr>
                        <a:spLocks noChangeArrowheads="1"/>
                      </wps:cNvSpPr>
                      <wps:spPr bwMode="auto">
                        <a:xfrm rot="-143046">
                          <a:off x="0" y="0"/>
                          <a:ext cx="132715" cy="132715"/>
                        </a:xfrm>
                        <a:prstGeom prst="triangle">
                          <a:avLst>
                            <a:gd name="adj" fmla="val 50000"/>
                          </a:avLst>
                        </a:prstGeom>
                        <a:solidFill>
                          <a:schemeClr val="tx1">
                            <a:lumMod val="100000"/>
                            <a:lumOff val="0"/>
                          </a:schemeClr>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AutoShape 111" o:spid="_x0000_s1026" o:spt="5" type="#_x0000_t5" style="position:absolute;left:0pt;margin-left:197.35pt;margin-top:15.95pt;height:10.45pt;width:10.45pt;rotation:-156244f;z-index:251684864;mso-width-relative:page;mso-height-relative:page;" fillcolor="#000000 [3229]" filled="t" stroked="t" coordsize="21600,21600" o:gfxdata="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DC5qI7XAAAACQEAAA8AAAAAAAAAAQAgAAAAIgAAAGRycy9kb3ducmV2LnhtbFBLAQIUABQAAAAI&#10;AIdO4kA7BowKYAIAAOgEAAAOAAAAAAAAAAEAIAAAACYBAABkcnMvZTJvRG9jLnhtbFBLBQYAAAAA&#10;BgAGAFkBAAD4BQAAAAA=&#10;" adj="10800">
                <v:fill on="t" focussize="0,0"/>
                <v:stroke color="#000000" miterlimit="8" joinstyle="miter"/>
                <v:imagedata o:title=""/>
                <o:lock v:ext="edit" aspectratio="f"/>
              </v:shape>
            </w:pict>
          </mc:Fallback>
        </mc:AlternateContent>
      </w:r>
    </w:p>
    <w:p>
      <w:pPr>
        <w:spacing w:line="360" w:lineRule="auto"/>
        <w:contextualSpacing/>
        <w:rPr>
          <w:b/>
          <w:sz w:val="24"/>
          <w:szCs w:val="24"/>
        </w:rPr>
      </w:pPr>
    </w:p>
    <w:p>
      <w:pPr>
        <w:spacing w:line="360" w:lineRule="auto"/>
        <w:contextualSpacing/>
        <w:rPr>
          <w:b/>
          <w:sz w:val="24"/>
          <w:szCs w:val="24"/>
        </w:rPr>
      </w:pPr>
    </w:p>
    <w:p>
      <w:pPr>
        <w:spacing w:line="360" w:lineRule="auto"/>
        <w:contextualSpacing/>
        <w:rPr>
          <w:b/>
          <w:sz w:val="24"/>
          <w:szCs w:val="24"/>
        </w:rPr>
      </w:pPr>
    </w:p>
    <w:p>
      <w:pPr>
        <w:spacing w:line="360" w:lineRule="auto"/>
        <w:contextualSpacing/>
        <w:rPr>
          <w:b/>
          <w:sz w:val="24"/>
          <w:szCs w:val="24"/>
        </w:rPr>
      </w:pPr>
    </w:p>
    <w:p>
      <w:pPr>
        <w:spacing w:line="360" w:lineRule="auto"/>
        <w:contextualSpacing/>
        <w:rPr>
          <w:b/>
          <w:sz w:val="24"/>
          <w:szCs w:val="24"/>
        </w:rPr>
      </w:pPr>
    </w:p>
    <w:p>
      <w:pPr>
        <w:spacing w:line="360" w:lineRule="auto"/>
        <w:contextualSpacing/>
        <w:jc w:val="center"/>
        <w:rPr>
          <w:b/>
          <w:bCs/>
          <w:sz w:val="20"/>
          <w:szCs w:val="20"/>
        </w:rPr>
      </w:pPr>
      <w:r>
        <w:rPr>
          <w:b/>
          <w:bCs/>
          <w:sz w:val="20"/>
          <w:szCs w:val="20"/>
        </w:rPr>
        <w:t xml:space="preserve">图9.2-1 </w:t>
      </w:r>
      <w:r>
        <w:rPr>
          <w:rFonts w:hint="eastAsia"/>
          <w:b/>
          <w:bCs/>
          <w:sz w:val="20"/>
          <w:szCs w:val="20"/>
        </w:rPr>
        <w:t>无组织废气检测点位图（南风）</w:t>
      </w:r>
    </w:p>
    <w:p>
      <w:pPr>
        <w:spacing w:line="360" w:lineRule="auto"/>
        <w:contextualSpacing/>
        <w:rPr>
          <w:b/>
          <w:sz w:val="24"/>
          <w:szCs w:val="24"/>
        </w:rPr>
      </w:pPr>
    </w:p>
    <w:p>
      <w:pPr>
        <w:spacing w:line="360" w:lineRule="auto"/>
        <w:contextualSpacing/>
        <w:rPr>
          <w:b/>
          <w:sz w:val="24"/>
          <w:szCs w:val="24"/>
        </w:rPr>
      </w:pPr>
    </w:p>
    <w:p>
      <w:pPr>
        <w:spacing w:line="360" w:lineRule="auto"/>
        <w:contextualSpacing/>
        <w:rPr>
          <w:b/>
          <w:sz w:val="24"/>
          <w:szCs w:val="24"/>
        </w:rPr>
      </w:pPr>
    </w:p>
    <w:p>
      <w:pPr>
        <w:spacing w:line="360" w:lineRule="auto"/>
        <w:ind w:firstLine="840" w:firstLineChars="400"/>
        <w:contextualSpacing/>
        <w:rPr>
          <w:b/>
          <w:bCs/>
          <w:sz w:val="20"/>
          <w:szCs w:val="20"/>
        </w:rPr>
      </w:pPr>
      <w:r>
        <w:drawing>
          <wp:anchor distT="0" distB="0" distL="114300" distR="114300" simplePos="0" relativeHeight="251695104" behindDoc="0" locked="0" layoutInCell="1" allowOverlap="1">
            <wp:simplePos x="0" y="0"/>
            <wp:positionH relativeFrom="column">
              <wp:posOffset>504190</wp:posOffset>
            </wp:positionH>
            <wp:positionV relativeFrom="paragraph">
              <wp:posOffset>131445</wp:posOffset>
            </wp:positionV>
            <wp:extent cx="4003675" cy="3141980"/>
            <wp:effectExtent l="0" t="0" r="15875" b="1270"/>
            <wp:wrapSquare wrapText="bothSides"/>
            <wp:docPr id="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
                    <pic:cNvPicPr>
                      <a:picLocks noChangeAspect="1"/>
                    </pic:cNvPicPr>
                  </pic:nvPicPr>
                  <pic:blipFill>
                    <a:blip r:embed="rId54"/>
                    <a:stretch>
                      <a:fillRect/>
                    </a:stretch>
                  </pic:blipFill>
                  <pic:spPr>
                    <a:xfrm>
                      <a:off x="0" y="0"/>
                      <a:ext cx="4003675" cy="3141980"/>
                    </a:xfrm>
                    <a:prstGeom prst="rect">
                      <a:avLst/>
                    </a:prstGeom>
                    <a:noFill/>
                    <a:ln>
                      <a:noFill/>
                    </a:ln>
                  </pic:spPr>
                </pic:pic>
              </a:graphicData>
            </a:graphic>
          </wp:anchor>
        </w:drawing>
      </w:r>
    </w:p>
    <w:p>
      <w:pPr>
        <w:spacing w:line="360" w:lineRule="auto"/>
        <w:ind w:firstLine="800" w:firstLineChars="400"/>
        <w:contextualSpacing/>
        <w:rPr>
          <w:b/>
          <w:bCs/>
          <w:sz w:val="20"/>
          <w:szCs w:val="20"/>
        </w:rPr>
      </w:pPr>
      <w:r>
        <w:rPr>
          <w:sz w:val="20"/>
          <w:szCs w:val="20"/>
        </w:rPr>
        <mc:AlternateContent>
          <mc:Choice Requires="wps">
            <w:drawing>
              <wp:anchor distT="0" distB="0" distL="114300" distR="114300" simplePos="0" relativeHeight="251698176" behindDoc="0" locked="0" layoutInCell="1" allowOverlap="1">
                <wp:simplePos x="0" y="0"/>
                <wp:positionH relativeFrom="column">
                  <wp:posOffset>2191385</wp:posOffset>
                </wp:positionH>
                <wp:positionV relativeFrom="paragraph">
                  <wp:posOffset>165735</wp:posOffset>
                </wp:positionV>
                <wp:extent cx="132715" cy="132715"/>
                <wp:effectExtent l="4445" t="10795" r="15240" b="8890"/>
                <wp:wrapNone/>
                <wp:docPr id="71" name="AutoShape 111"/>
                <wp:cNvGraphicFramePr/>
                <a:graphic xmlns:a="http://schemas.openxmlformats.org/drawingml/2006/main">
                  <a:graphicData uri="http://schemas.microsoft.com/office/word/2010/wordprocessingShape">
                    <wps:wsp>
                      <wps:cNvSpPr>
                        <a:spLocks noChangeArrowheads="1"/>
                      </wps:cNvSpPr>
                      <wps:spPr bwMode="auto">
                        <a:xfrm rot="-143046">
                          <a:off x="0" y="0"/>
                          <a:ext cx="132715" cy="132715"/>
                        </a:xfrm>
                        <a:prstGeom prst="triangle">
                          <a:avLst>
                            <a:gd name="adj" fmla="val 50000"/>
                          </a:avLst>
                        </a:prstGeom>
                        <a:solidFill>
                          <a:schemeClr val="tx1">
                            <a:lumMod val="100000"/>
                            <a:lumOff val="0"/>
                          </a:schemeClr>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AutoShape 111" o:spid="_x0000_s1026" o:spt="5" type="#_x0000_t5" style="position:absolute;left:0pt;margin-left:172.55pt;margin-top:13.05pt;height:10.45pt;width:10.45pt;rotation:-156244f;z-index:251698176;mso-width-relative:page;mso-height-relative:page;" fillcolor="#000000 [3229]" filled="t" stroked="t" coordsize="21600,21600" o:gfxdata="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May1k/XAAAACQEAAA8AAAAAAAAAAQAgAAAAIgAAAGRycy9kb3ducmV2LnhtbFBLAQIUABQAAAAI&#10;AIdO4kCHG5OJYAIAAOgEAAAOAAAAAAAAAAEAIAAAACYBAABkcnMvZTJvRG9jLnhtbFBLBQYAAAAA&#10;BgAGAFkBAAD4BQAAAAA=&#10;" adj="10800">
                <v:fill on="t" focussize="0,0"/>
                <v:stroke color="#000000" miterlimit="8" joinstyle="miter"/>
                <v:imagedata o:title=""/>
                <o:lock v:ext="edit" aspectratio="f"/>
              </v:shape>
            </w:pict>
          </mc:Fallback>
        </mc:AlternateContent>
      </w:r>
    </w:p>
    <w:p>
      <w:pPr>
        <w:spacing w:line="360" w:lineRule="auto"/>
        <w:ind w:firstLine="960" w:firstLineChars="400"/>
        <w:contextualSpacing/>
        <w:rPr>
          <w:b/>
          <w:bCs/>
          <w:sz w:val="20"/>
          <w:szCs w:val="20"/>
        </w:rPr>
      </w:pPr>
      <w:r>
        <w:rPr>
          <w:sz w:val="24"/>
        </w:rPr>
        <mc:AlternateContent>
          <mc:Choice Requires="wps">
            <w:drawing>
              <wp:anchor distT="0" distB="0" distL="114300" distR="114300" simplePos="0" relativeHeight="251705344" behindDoc="0" locked="0" layoutInCell="1" allowOverlap="1">
                <wp:simplePos x="0" y="0"/>
                <wp:positionH relativeFrom="column">
                  <wp:posOffset>-1076960</wp:posOffset>
                </wp:positionH>
                <wp:positionV relativeFrom="paragraph">
                  <wp:posOffset>20955</wp:posOffset>
                </wp:positionV>
                <wp:extent cx="366395" cy="283845"/>
                <wp:effectExtent l="0" t="0" r="0" b="0"/>
                <wp:wrapNone/>
                <wp:docPr id="80" name="矩形 80"/>
                <wp:cNvGraphicFramePr/>
                <a:graphic xmlns:a="http://schemas.openxmlformats.org/drawingml/2006/main">
                  <a:graphicData uri="http://schemas.microsoft.com/office/word/2010/wordprocessingShape">
                    <wps:wsp>
                      <wps:cNvSpPr/>
                      <wps:spPr>
                        <a:xfrm flipH="1">
                          <a:off x="0" y="0"/>
                          <a:ext cx="366395" cy="2838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flip:x;margin-left:-84.8pt;margin-top:1.65pt;height:22.35pt;width:28.85pt;z-index:251705344;v-text-anchor:middle;mso-width-relative:page;mso-height-relative:page;" filled="f" stroked="f" coordsize="21600,21600" o:gfxdata="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14Vv&#10;EtoAAAAKAQAADwAAAAAAAAABACAAAAAiAAAAZHJzL2Rvd25yZXYueG1sUEsBAhQAFAAAAAgAh07i&#10;QILV/VBZAgAAoQQAAA4AAAAAAAAAAQAgAAAAKQEAAGRycy9lMm9Eb2MueG1sUEsFBgAAAAAGAAYA&#10;WQEAAPQFAAAAAA==&#10;">
                <v:fill on="f" focussize="0,0"/>
                <v:stroke on="f" weight="2pt"/>
                <v:imagedata o:title=""/>
                <o:lock v:ext="edit" aspectratio="f"/>
                <v:textbo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2#</w:t>
                      </w:r>
                    </w:p>
                  </w:txbxContent>
                </v:textbox>
              </v:rect>
            </w:pict>
          </mc:Fallback>
        </mc:AlternateContent>
      </w:r>
      <w:r>
        <mc:AlternateContent>
          <mc:Choice Requires="wps">
            <w:drawing>
              <wp:anchor distT="0" distB="0" distL="114300" distR="114300" simplePos="0" relativeHeight="251702272" behindDoc="0" locked="0" layoutInCell="1" allowOverlap="1">
                <wp:simplePos x="0" y="0"/>
                <wp:positionH relativeFrom="column">
                  <wp:posOffset>-1196975</wp:posOffset>
                </wp:positionH>
                <wp:positionV relativeFrom="paragraph">
                  <wp:posOffset>68580</wp:posOffset>
                </wp:positionV>
                <wp:extent cx="126365" cy="113030"/>
                <wp:effectExtent l="4445" t="4445" r="21590" b="15875"/>
                <wp:wrapNone/>
                <wp:docPr id="76" name="AutoShape 116"/>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flowChartConnector">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AutoShape 116" o:spid="_x0000_s1026" o:spt="120" type="#_x0000_t120" style="position:absolute;left:0pt;margin-left:-94.25pt;margin-top:5.4pt;height:8.9pt;width:9.95pt;z-index:251702272;mso-width-relative:page;mso-height-relative:page;" fillcolor="#FFFFFF" filled="t" stroked="t" coordsize="21600,21600" o:gfxdata="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4DRPR9kAAAALAQAADwAAAAAAAAABACAAAAAiAAAAZHJzL2Rvd25yZXYueG1sUEsB&#10;AhQAFAAAAAgAh07iQAg3uLUtAgAAdQQAAA4AAAAAAAAAAQAgAAAAKAEAAGRycy9lMm9Eb2MueG1s&#10;UEsFBgAAAAAGAAYAWQEAAMcFAAAAAA==&#10;">
                <v:fill on="t" focussize="0,0"/>
                <v:stroke color="#000000" joinstyle="round"/>
                <v:imagedata o:title=""/>
                <o:lock v:ext="edit" aspectratio="f"/>
              </v:shape>
            </w:pict>
          </mc:Fallback>
        </mc:AlternateContent>
      </w:r>
    </w:p>
    <w:p>
      <w:pPr>
        <w:spacing w:line="360" w:lineRule="auto"/>
        <w:ind w:firstLine="960" w:firstLineChars="400"/>
        <w:contextualSpacing/>
        <w:rPr>
          <w:b/>
          <w:bCs/>
          <w:sz w:val="20"/>
          <w:szCs w:val="20"/>
        </w:rPr>
      </w:pPr>
      <w:r>
        <w:rPr>
          <w:sz w:val="24"/>
        </w:rPr>
        <mc:AlternateContent>
          <mc:Choice Requires="wps">
            <w:drawing>
              <wp:anchor distT="0" distB="0" distL="114300" distR="114300" simplePos="0" relativeHeight="251706368" behindDoc="0" locked="0" layoutInCell="1" allowOverlap="1">
                <wp:simplePos x="0" y="0"/>
                <wp:positionH relativeFrom="column">
                  <wp:posOffset>-1260475</wp:posOffset>
                </wp:positionH>
                <wp:positionV relativeFrom="paragraph">
                  <wp:posOffset>9525</wp:posOffset>
                </wp:positionV>
                <wp:extent cx="643890" cy="284480"/>
                <wp:effectExtent l="0" t="0" r="0" b="0"/>
                <wp:wrapNone/>
                <wp:docPr id="81" name="矩形 81"/>
                <wp:cNvGraphicFramePr/>
                <a:graphic xmlns:a="http://schemas.openxmlformats.org/drawingml/2006/main">
                  <a:graphicData uri="http://schemas.microsoft.com/office/word/2010/wordprocessingShape">
                    <wps:wsp>
                      <wps:cNvSpPr/>
                      <wps:spPr>
                        <a:xfrm>
                          <a:off x="0" y="0"/>
                          <a:ext cx="643890" cy="2844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9.25pt;margin-top:0.75pt;height:22.4pt;width:50.7pt;z-index:251706368;v-text-anchor:middle;mso-width-relative:page;mso-height-relative:page;" filled="f" stroked="f" coordsize="21600,21600" o:gfxdata="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I25hC3ZAAAACQEA&#10;AA8AAAAAAAAAAQAgAAAAIgAAAGRycy9kb3ducmV2LnhtbFBLAQIUABQAAAAIAIdO4kAMLft/UgIA&#10;AJcEAAAOAAAAAAAAAAEAIAAAACgBAABkcnMvZTJvRG9jLnhtbFBLBQYAAAAABgAGAFkBAADsBQAA&#10;AAA=&#10;">
                <v:fill on="f" focussize="0,0"/>
                <v:stroke on="f" weight="2pt"/>
                <v:imagedata o:title=""/>
                <o:lock v:ext="edit" aspectratio="f"/>
                <v:textbo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3#</w:t>
                      </w:r>
                    </w:p>
                  </w:txbxContent>
                </v:textbox>
              </v:rect>
            </w:pict>
          </mc:Fallback>
        </mc:AlternateContent>
      </w:r>
      <w:r>
        <mc:AlternateContent>
          <mc:Choice Requires="wps">
            <w:drawing>
              <wp:anchor distT="0" distB="0" distL="114300" distR="114300" simplePos="0" relativeHeight="251701248" behindDoc="0" locked="0" layoutInCell="1" allowOverlap="1">
                <wp:simplePos x="0" y="0"/>
                <wp:positionH relativeFrom="column">
                  <wp:posOffset>-1190625</wp:posOffset>
                </wp:positionH>
                <wp:positionV relativeFrom="paragraph">
                  <wp:posOffset>106680</wp:posOffset>
                </wp:positionV>
                <wp:extent cx="126365" cy="106045"/>
                <wp:effectExtent l="4445" t="4445" r="21590" b="22860"/>
                <wp:wrapNone/>
                <wp:docPr id="75" name="AutoShape 116"/>
                <wp:cNvGraphicFramePr/>
                <a:graphic xmlns:a="http://schemas.openxmlformats.org/drawingml/2006/main">
                  <a:graphicData uri="http://schemas.microsoft.com/office/word/2010/wordprocessingShape">
                    <wps:wsp>
                      <wps:cNvSpPr>
                        <a:spLocks noChangeArrowheads="1"/>
                      </wps:cNvSpPr>
                      <wps:spPr bwMode="auto">
                        <a:xfrm>
                          <a:off x="0" y="0"/>
                          <a:ext cx="126365" cy="106045"/>
                        </a:xfrm>
                        <a:prstGeom prst="flowChartConnector">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AutoShape 116" o:spid="_x0000_s1026" o:spt="120" type="#_x0000_t120" style="position:absolute;left:0pt;margin-left:-93.75pt;margin-top:8.4pt;height:8.35pt;width:9.95pt;z-index:251701248;mso-width-relative:page;mso-height-relative:page;" fillcolor="#FFFFFF" filled="t" stroked="t" coordsize="21600,21600" o:gfxdata="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HilZDfZAAAACwEAAA8AAAAAAAAAAQAgAAAAIgAAAGRycy9kb3ducmV2LnhtbFBLAQIU&#10;ABQAAAAIAIdO4kABsDt6KwIAAHUEAAAOAAAAAAAAAAEAIAAAACgBAABkcnMvZTJvRG9jLnhtbFBL&#10;BQYAAAAABgAGAFkBAADFBQAAAAA=&#10;">
                <v:fill on="t" focussize="0,0"/>
                <v:stroke color="#000000" joinstyle="round"/>
                <v:imagedata o:title=""/>
                <o:lock v:ext="edit" aspectratio="f"/>
              </v:shape>
            </w:pict>
          </mc:Fallback>
        </mc:AlternateContent>
      </w:r>
      <w:r>
        <w:rPr>
          <w:sz w:val="20"/>
          <w:szCs w:val="20"/>
        </w:rPr>
        <mc:AlternateContent>
          <mc:Choice Requires="wps">
            <w:drawing>
              <wp:anchor distT="0" distB="0" distL="114300" distR="114300" simplePos="0" relativeHeight="251699200" behindDoc="0" locked="0" layoutInCell="1" allowOverlap="1">
                <wp:simplePos x="0" y="0"/>
                <wp:positionH relativeFrom="column">
                  <wp:posOffset>-3700780</wp:posOffset>
                </wp:positionH>
                <wp:positionV relativeFrom="paragraph">
                  <wp:posOffset>166370</wp:posOffset>
                </wp:positionV>
                <wp:extent cx="128905" cy="136525"/>
                <wp:effectExtent l="4445" t="10795" r="19050" b="24130"/>
                <wp:wrapNone/>
                <wp:docPr id="72" name="AutoShape 111"/>
                <wp:cNvGraphicFramePr/>
                <a:graphic xmlns:a="http://schemas.openxmlformats.org/drawingml/2006/main">
                  <a:graphicData uri="http://schemas.microsoft.com/office/word/2010/wordprocessingShape">
                    <wps:wsp>
                      <wps:cNvSpPr>
                        <a:spLocks noChangeArrowheads="1"/>
                      </wps:cNvSpPr>
                      <wps:spPr bwMode="auto">
                        <a:xfrm rot="-143046">
                          <a:off x="0" y="0"/>
                          <a:ext cx="128905" cy="136525"/>
                        </a:xfrm>
                        <a:prstGeom prst="triangle">
                          <a:avLst>
                            <a:gd name="adj" fmla="val 50000"/>
                          </a:avLst>
                        </a:prstGeom>
                        <a:solidFill>
                          <a:schemeClr val="tx1">
                            <a:lumMod val="100000"/>
                            <a:lumOff val="0"/>
                          </a:schemeClr>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AutoShape 111" o:spid="_x0000_s1026" o:spt="5" type="#_x0000_t5" style="position:absolute;left:0pt;margin-left:-291.4pt;margin-top:13.1pt;height:10.75pt;width:10.15pt;rotation:-156244f;z-index:251699200;mso-width-relative:page;mso-height-relative:page;" fillcolor="#000000 [3229]" filled="t" stroked="t" coordsize="21600,21600" o:gfxdata="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EbK&#10;8VbXAAAACwEAAA8AAAAAAAAAAQAgAAAAIgAAAGRycy9kb3ducmV2LnhtbFBLAQIUABQAAAAIAIdO&#10;4kCBodcKXQIAAOgEAAAOAAAAAAAAAAEAIAAAACYBAABkcnMvZTJvRG9jLnhtbFBLBQYAAAAABgAG&#10;AFkBAAD1BQAAAAA=&#10;" adj="10800">
                <v:fill on="t" focussize="0,0"/>
                <v:stroke color="#000000" miterlimit="8" joinstyle="miter"/>
                <v:imagedata o:title=""/>
                <o:lock v:ext="edit" aspectratio="f"/>
              </v:shape>
            </w:pict>
          </mc:Fallback>
        </mc:AlternateContent>
      </w:r>
    </w:p>
    <w:p>
      <w:pPr>
        <w:spacing w:line="360" w:lineRule="auto"/>
        <w:ind w:firstLine="800" w:firstLineChars="400"/>
        <w:contextualSpacing/>
        <w:rPr>
          <w:b/>
          <w:bCs/>
          <w:sz w:val="20"/>
          <w:szCs w:val="20"/>
        </w:rPr>
      </w:pPr>
      <w:r>
        <w:rPr>
          <w:sz w:val="20"/>
          <w:szCs w:val="20"/>
        </w:rPr>
        <mc:AlternateContent>
          <mc:Choice Requires="wps">
            <w:drawing>
              <wp:anchor distT="0" distB="0" distL="114300" distR="114300" simplePos="0" relativeHeight="251696128" behindDoc="0" locked="0" layoutInCell="1" allowOverlap="1">
                <wp:simplePos x="0" y="0"/>
                <wp:positionH relativeFrom="column">
                  <wp:posOffset>3448050</wp:posOffset>
                </wp:positionH>
                <wp:positionV relativeFrom="paragraph">
                  <wp:posOffset>194945</wp:posOffset>
                </wp:positionV>
                <wp:extent cx="132715" cy="132715"/>
                <wp:effectExtent l="4445" t="10795" r="15240" b="8890"/>
                <wp:wrapNone/>
                <wp:docPr id="69" name="AutoShape 111"/>
                <wp:cNvGraphicFramePr/>
                <a:graphic xmlns:a="http://schemas.openxmlformats.org/drawingml/2006/main">
                  <a:graphicData uri="http://schemas.microsoft.com/office/word/2010/wordprocessingShape">
                    <wps:wsp>
                      <wps:cNvSpPr>
                        <a:spLocks noChangeArrowheads="1"/>
                      </wps:cNvSpPr>
                      <wps:spPr bwMode="auto">
                        <a:xfrm rot="-143046">
                          <a:off x="0" y="0"/>
                          <a:ext cx="132715" cy="132715"/>
                        </a:xfrm>
                        <a:prstGeom prst="triangle">
                          <a:avLst>
                            <a:gd name="adj" fmla="val 50000"/>
                          </a:avLst>
                        </a:prstGeom>
                        <a:solidFill>
                          <a:schemeClr val="tx1">
                            <a:lumMod val="100000"/>
                            <a:lumOff val="0"/>
                          </a:schemeClr>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AutoShape 111" o:spid="_x0000_s1026" o:spt="5" type="#_x0000_t5" style="position:absolute;left:0pt;margin-left:271.5pt;margin-top:15.35pt;height:10.45pt;width:10.45pt;rotation:-156244f;z-index:251696128;mso-width-relative:page;mso-height-relative:page;" fillcolor="#000000 [3229]" filled="t" stroked="t" coordsize="21600,21600" o:gfxdata="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FpY7i2AAAAAkBAAAPAAAAAAAAAAEAIAAAACIAAABkcnMvZG93bnJldi54bWxQSwECFAAUAAAA&#10;CACHTuJAoMSnuWACAADoBAAADgAAAAAAAAABACAAAAAnAQAAZHJzL2Uyb0RvYy54bWxQSwUGAAAA&#10;AAYABgBZAQAA+QUAAAAA&#10;" adj="10800">
                <v:fill on="t" focussize="0,0"/>
                <v:stroke color="#000000" miterlimit="8" joinstyle="miter"/>
                <v:imagedata o:title=""/>
                <o:lock v:ext="edit" aspectratio="f"/>
              </v:shape>
            </w:pict>
          </mc:Fallback>
        </mc:AlternateContent>
      </w:r>
    </w:p>
    <w:p>
      <w:pPr>
        <w:spacing w:line="360" w:lineRule="auto"/>
        <w:ind w:firstLine="960" w:firstLineChars="400"/>
        <w:contextualSpacing/>
        <w:rPr>
          <w:b/>
          <w:bCs/>
          <w:sz w:val="20"/>
          <w:szCs w:val="20"/>
        </w:rPr>
      </w:pPr>
      <w:r>
        <w:rPr>
          <w:sz w:val="24"/>
        </w:rPr>
        <mc:AlternateContent>
          <mc:Choice Requires="wps">
            <w:drawing>
              <wp:anchor distT="0" distB="0" distL="114300" distR="114300" simplePos="0" relativeHeight="251707392" behindDoc="0" locked="0" layoutInCell="1" allowOverlap="1">
                <wp:simplePos x="0" y="0"/>
                <wp:positionH relativeFrom="column">
                  <wp:posOffset>-1151890</wp:posOffset>
                </wp:positionH>
                <wp:positionV relativeFrom="paragraph">
                  <wp:posOffset>3810</wp:posOffset>
                </wp:positionV>
                <wp:extent cx="367030" cy="426085"/>
                <wp:effectExtent l="0" t="0" r="0" b="0"/>
                <wp:wrapNone/>
                <wp:docPr id="82" name="矩形 82"/>
                <wp:cNvGraphicFramePr/>
                <a:graphic xmlns:a="http://schemas.openxmlformats.org/drawingml/2006/main">
                  <a:graphicData uri="http://schemas.microsoft.com/office/word/2010/wordprocessingShape">
                    <wps:wsp>
                      <wps:cNvSpPr/>
                      <wps:spPr>
                        <a:xfrm>
                          <a:off x="0" y="0"/>
                          <a:ext cx="367030" cy="42608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4#</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0.7pt;margin-top:0.3pt;height:33.55pt;width:28.9pt;z-index:251707392;v-text-anchor:middle;mso-width-relative:page;mso-height-relative:page;" filled="f" stroked="f" coordsize="21600,21600" o:gfxdata="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GomX3TYAAAACQEA&#10;AA8AAAAAAAAAAQAgAAAAIgAAAGRycy9kb3ducmV2LnhtbFBLAQIUABQAAAAIAIdO4kAVfBD/UwIA&#10;AJcEAAAOAAAAAAAAAAEAIAAAACcBAABkcnMvZTJvRG9jLnhtbFBLBQYAAAAABgAGAFkBAADsBQAA&#10;AAA=&#10;">
                <v:fill on="f" focussize="0,0"/>
                <v:stroke on="f" weight="2pt"/>
                <v:imagedata o:title=""/>
                <o:lock v:ext="edit" aspectratio="f"/>
                <v:textbo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4#</w:t>
                      </w:r>
                    </w:p>
                  </w:txbxContent>
                </v:textbox>
              </v:rect>
            </w:pict>
          </mc:Fallback>
        </mc:AlternateContent>
      </w:r>
      <w:r>
        <mc:AlternateContent>
          <mc:Choice Requires="wps">
            <w:drawing>
              <wp:anchor distT="0" distB="0" distL="114300" distR="114300" simplePos="0" relativeHeight="251700224" behindDoc="0" locked="0" layoutInCell="1" allowOverlap="1">
                <wp:simplePos x="0" y="0"/>
                <wp:positionH relativeFrom="column">
                  <wp:posOffset>-1231265</wp:posOffset>
                </wp:positionH>
                <wp:positionV relativeFrom="paragraph">
                  <wp:posOffset>163830</wp:posOffset>
                </wp:positionV>
                <wp:extent cx="126365" cy="113030"/>
                <wp:effectExtent l="4445" t="4445" r="21590" b="15875"/>
                <wp:wrapNone/>
                <wp:docPr id="74" name="AutoShape 116"/>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flowChartConnector">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AutoShape 116" o:spid="_x0000_s1026" o:spt="120" type="#_x0000_t120" style="position:absolute;left:0pt;margin-left:-96.95pt;margin-top:12.9pt;height:8.9pt;width:9.95pt;z-index:251700224;mso-width-relative:page;mso-height-relative:page;" fillcolor="#FFFFFF" filled="t" stroked="t" coordsize="21600,21600" o:gfxdata="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O2jJQzaAAAACwEAAA8AAAAAAAAAAQAgAAAAIgAAAGRycy9kb3ducmV2LnhtbFBL&#10;AQIUABQAAAAIAIdO4kB2uikULQIAAHUEAAAOAAAAAAAAAAEAIAAAACkBAABkcnMvZTJvRG9jLnht&#10;bFBLBQYAAAAABgAGAFkBAADIBQAAAAA=&#10;">
                <v:fill on="t" focussize="0,0"/>
                <v:stroke color="#000000" joinstyle="round"/>
                <v:imagedata o:title=""/>
                <o:lock v:ext="edit" aspectratio="f"/>
              </v:shape>
            </w:pict>
          </mc:Fallback>
        </mc:AlternateContent>
      </w:r>
      <w:r>
        <w:rPr>
          <w:sz w:val="24"/>
        </w:rPr>
        <mc:AlternateContent>
          <mc:Choice Requires="wps">
            <w:drawing>
              <wp:anchor distT="0" distB="0" distL="114300" distR="114300" simplePos="0" relativeHeight="251704320" behindDoc="0" locked="0" layoutInCell="1" allowOverlap="1">
                <wp:simplePos x="0" y="0"/>
                <wp:positionH relativeFrom="column">
                  <wp:posOffset>-4003675</wp:posOffset>
                </wp:positionH>
                <wp:positionV relativeFrom="paragraph">
                  <wp:posOffset>41275</wp:posOffset>
                </wp:positionV>
                <wp:extent cx="681990" cy="427355"/>
                <wp:effectExtent l="0" t="0" r="0" b="0"/>
                <wp:wrapNone/>
                <wp:docPr id="79" name="矩形 79"/>
                <wp:cNvGraphicFramePr/>
                <a:graphic xmlns:a="http://schemas.openxmlformats.org/drawingml/2006/main">
                  <a:graphicData uri="http://schemas.microsoft.com/office/word/2010/wordprocessingShape">
                    <wps:wsp>
                      <wps:cNvSpPr/>
                      <wps:spPr>
                        <a:xfrm>
                          <a:off x="0" y="0"/>
                          <a:ext cx="681990" cy="4273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15.25pt;margin-top:3.25pt;height:33.65pt;width:53.7pt;z-index:251704320;v-text-anchor:middle;mso-width-relative:page;mso-height-relative:page;" filled="f" stroked="f" coordsize="21600,21600" o:gfxdata="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hwpdXtoAAAAK&#10;AQAADwAAAAAAAAABACAAAAAiAAAAZHJzL2Rvd25yZXYueG1sUEsBAhQAFAAAAAgAh07iQAidM0NT&#10;AgAAlwQAAA4AAAAAAAAAAQAgAAAAKQEAAGRycy9lMm9Eb2MueG1sUEsFBgAAAAAGAAYAWQEAAO4F&#10;AAAAAA==&#10;">
                <v:fill on="f" focussize="0,0"/>
                <v:stroke on="f" weight="2pt"/>
                <v:imagedata o:title=""/>
                <o:lock v:ext="edit" aspectratio="f"/>
                <v:textbox>
                  <w:txbxContent>
                    <w:p>
                      <w:pPr>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1#</w:t>
                      </w:r>
                    </w:p>
                  </w:txbxContent>
                </v:textbox>
              </v:rect>
            </w:pict>
          </mc:Fallback>
        </mc:AlternateContent>
      </w:r>
      <w:r>
        <mc:AlternateContent>
          <mc:Choice Requires="wps">
            <w:drawing>
              <wp:anchor distT="0" distB="0" distL="114300" distR="114300" simplePos="0" relativeHeight="251703296" behindDoc="0" locked="0" layoutInCell="1" allowOverlap="1">
                <wp:simplePos x="0" y="0"/>
                <wp:positionH relativeFrom="column">
                  <wp:posOffset>-3703320</wp:posOffset>
                </wp:positionH>
                <wp:positionV relativeFrom="paragraph">
                  <wp:posOffset>46355</wp:posOffset>
                </wp:positionV>
                <wp:extent cx="126365" cy="113030"/>
                <wp:effectExtent l="4445" t="4445" r="21590" b="15875"/>
                <wp:wrapNone/>
                <wp:docPr id="78" name="AutoShape 116"/>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flowChartConnector">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AutoShape 116" o:spid="_x0000_s1026" o:spt="120" type="#_x0000_t120" style="position:absolute;left:0pt;margin-left:-291.6pt;margin-top:3.65pt;height:8.9pt;width:9.95pt;z-index:251703296;mso-width-relative:page;mso-height-relative:page;" fillcolor="#FFFFFF" filled="t" stroked="t" coordsize="21600,21600" o:gfxdata="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BRLq+9kAAAAKAQAADwAAAAAAAAABACAAAAAiAAAAZHJzL2Rvd25yZXYueG1sUEsB&#10;AhQAFAAAAAgAh07iQPCZrmctAgAAdQQAAA4AAAAAAAAAAQAgAAAAKAEAAGRycy9lMm9Eb2MueG1s&#10;UEsFBgAAAAAGAAYAWQEAAMcFAAAAAA==&#10;">
                <v:fill on="t" focussize="0,0"/>
                <v:stroke color="#000000" joinstyle="round"/>
                <v:imagedata o:title=""/>
                <o:lock v:ext="edit" aspectratio="f"/>
              </v:shape>
            </w:pict>
          </mc:Fallback>
        </mc:AlternateContent>
      </w:r>
    </w:p>
    <w:p>
      <w:pPr>
        <w:spacing w:line="360" w:lineRule="auto"/>
        <w:ind w:firstLine="800" w:firstLineChars="400"/>
        <w:contextualSpacing/>
        <w:rPr>
          <w:b/>
          <w:bCs/>
          <w:sz w:val="20"/>
          <w:szCs w:val="20"/>
        </w:rPr>
      </w:pPr>
      <w:r>
        <w:rPr>
          <w:sz w:val="20"/>
          <w:szCs w:val="20"/>
        </w:rPr>
        <mc:AlternateContent>
          <mc:Choice Requires="wps">
            <w:drawing>
              <wp:anchor distT="0" distB="0" distL="114300" distR="114300" simplePos="0" relativeHeight="251697152" behindDoc="0" locked="0" layoutInCell="1" allowOverlap="1">
                <wp:simplePos x="0" y="0"/>
                <wp:positionH relativeFrom="column">
                  <wp:posOffset>2056130</wp:posOffset>
                </wp:positionH>
                <wp:positionV relativeFrom="paragraph">
                  <wp:posOffset>74930</wp:posOffset>
                </wp:positionV>
                <wp:extent cx="132715" cy="132715"/>
                <wp:effectExtent l="4445" t="10795" r="15240" b="8890"/>
                <wp:wrapNone/>
                <wp:docPr id="70" name="AutoShape 111"/>
                <wp:cNvGraphicFramePr/>
                <a:graphic xmlns:a="http://schemas.openxmlformats.org/drawingml/2006/main">
                  <a:graphicData uri="http://schemas.microsoft.com/office/word/2010/wordprocessingShape">
                    <wps:wsp>
                      <wps:cNvSpPr>
                        <a:spLocks noChangeArrowheads="1"/>
                      </wps:cNvSpPr>
                      <wps:spPr bwMode="auto">
                        <a:xfrm rot="-143046">
                          <a:off x="0" y="0"/>
                          <a:ext cx="132715" cy="132715"/>
                        </a:xfrm>
                        <a:prstGeom prst="triangle">
                          <a:avLst>
                            <a:gd name="adj" fmla="val 50000"/>
                          </a:avLst>
                        </a:prstGeom>
                        <a:solidFill>
                          <a:schemeClr val="tx1">
                            <a:lumMod val="100000"/>
                            <a:lumOff val="0"/>
                          </a:schemeClr>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AutoShape 111" o:spid="_x0000_s1026" o:spt="5" type="#_x0000_t5" style="position:absolute;left:0pt;margin-left:161.9pt;margin-top:5.9pt;height:10.45pt;width:10.45pt;rotation:-156244f;z-index:251697152;mso-width-relative:page;mso-height-relative:page;" fillcolor="#000000 [3229]" filled="t" stroked="t" coordsize="21600,21600" o:gfxdata="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DzJ0yNYAAAAJAQAADwAAAAAAAAABACAAAAAiAAAAZHJzL2Rvd25yZXYueG1sUEsBAhQAFAAAAAgA&#10;h07iQJeZSrdgAgAA6AQAAA4AAAAAAAAAAQAgAAAAJQEAAGRycy9lMm9Eb2MueG1sUEsFBgAAAAAG&#10;AAYAWQEAAPcFAAAAAA==&#10;" adj="10800">
                <v:fill on="t" focussize="0,0"/>
                <v:stroke color="#000000" miterlimit="8" joinstyle="miter"/>
                <v:imagedata o:title=""/>
                <o:lock v:ext="edit" aspectratio="f"/>
              </v:shape>
            </w:pict>
          </mc:Fallback>
        </mc:AlternateContent>
      </w:r>
    </w:p>
    <w:p>
      <w:pPr>
        <w:spacing w:line="360" w:lineRule="auto"/>
        <w:ind w:firstLine="803" w:firstLineChars="400"/>
        <w:contextualSpacing/>
        <w:rPr>
          <w:b/>
          <w:bCs/>
          <w:sz w:val="20"/>
          <w:szCs w:val="20"/>
        </w:rPr>
      </w:pPr>
    </w:p>
    <w:p>
      <w:pPr>
        <w:spacing w:line="360" w:lineRule="auto"/>
        <w:ind w:firstLine="803" w:firstLineChars="400"/>
        <w:contextualSpacing/>
        <w:rPr>
          <w:b/>
          <w:bCs/>
          <w:sz w:val="20"/>
          <w:szCs w:val="20"/>
        </w:rPr>
      </w:pPr>
    </w:p>
    <w:p>
      <w:pPr>
        <w:spacing w:line="360" w:lineRule="auto"/>
        <w:contextualSpacing/>
        <w:rPr>
          <w:b/>
          <w:bCs/>
          <w:sz w:val="20"/>
          <w:szCs w:val="20"/>
        </w:rPr>
      </w:pPr>
    </w:p>
    <w:p>
      <w:pPr>
        <w:pStyle w:val="2"/>
        <w:ind w:firstLine="402"/>
        <w:rPr>
          <w:b/>
          <w:bCs/>
          <w:sz w:val="20"/>
          <w:szCs w:val="20"/>
        </w:rPr>
      </w:pPr>
    </w:p>
    <w:p/>
    <w:p>
      <w:pPr>
        <w:spacing w:line="360" w:lineRule="auto"/>
        <w:contextualSpacing/>
        <w:jc w:val="center"/>
      </w:pPr>
      <w:r>
        <w:rPr>
          <w:b/>
          <w:bCs/>
          <w:sz w:val="20"/>
          <w:szCs w:val="20"/>
        </w:rPr>
        <w:t>图9.2-</w:t>
      </w:r>
      <w:r>
        <w:rPr>
          <w:rFonts w:hint="eastAsia"/>
          <w:b/>
          <w:bCs/>
          <w:sz w:val="20"/>
          <w:szCs w:val="20"/>
        </w:rPr>
        <w:t>2</w:t>
      </w:r>
      <w:r>
        <w:rPr>
          <w:b/>
          <w:bCs/>
          <w:sz w:val="20"/>
          <w:szCs w:val="20"/>
        </w:rPr>
        <w:t xml:space="preserve"> </w:t>
      </w:r>
      <w:r>
        <w:rPr>
          <w:rFonts w:hint="eastAsia"/>
          <w:b/>
          <w:bCs/>
          <w:sz w:val="20"/>
          <w:szCs w:val="20"/>
        </w:rPr>
        <w:t>无组织废气检测点位图（西风）</w:t>
      </w:r>
    </w:p>
    <w:p>
      <w:pPr>
        <w:tabs>
          <w:tab w:val="center" w:pos="4592"/>
          <w:tab w:val="left" w:pos="6440"/>
        </w:tabs>
        <w:spacing w:line="360" w:lineRule="auto"/>
        <w:contextualSpacing/>
        <w:jc w:val="center"/>
        <w:rPr>
          <w:b/>
        </w:rPr>
      </w:pPr>
      <w:r>
        <w:rPr>
          <w:b/>
        </w:rPr>
        <w:t>表9.2-</w:t>
      </w:r>
      <w:r>
        <w:rPr>
          <w:rFonts w:hint="eastAsia"/>
          <w:b/>
          <w:lang w:val="en-US" w:eastAsia="zh-CN"/>
        </w:rPr>
        <w:t>3厂区内装置区</w:t>
      </w:r>
      <w:r>
        <w:rPr>
          <w:b/>
        </w:rPr>
        <w:t>无组织废气监测期间气象参数</w:t>
      </w:r>
    </w:p>
    <w:tbl>
      <w:tblPr>
        <w:tblStyle w:val="39"/>
        <w:tblW w:w="754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92"/>
        <w:gridCol w:w="1359"/>
        <w:gridCol w:w="1564"/>
        <w:gridCol w:w="1627"/>
        <w:gridCol w:w="160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92" w:type="dxa"/>
            <w:tcBorders>
              <w:tl2br w:val="nil"/>
              <w:tr2bl w:val="nil"/>
            </w:tcBorders>
            <w:vAlign w:val="center"/>
          </w:tcPr>
          <w:p>
            <w:pPr>
              <w:spacing w:line="360" w:lineRule="auto"/>
              <w:jc w:val="center"/>
              <w:rPr>
                <w:b/>
                <w:bCs/>
              </w:rPr>
            </w:pPr>
            <w:r>
              <w:rPr>
                <w:b/>
                <w:bCs/>
              </w:rPr>
              <w:t>日期</w:t>
            </w:r>
          </w:p>
        </w:tc>
        <w:tc>
          <w:tcPr>
            <w:tcW w:w="1359" w:type="dxa"/>
            <w:tcBorders>
              <w:tl2br w:val="nil"/>
              <w:tr2bl w:val="nil"/>
            </w:tcBorders>
            <w:vAlign w:val="center"/>
          </w:tcPr>
          <w:p>
            <w:pPr>
              <w:spacing w:line="360" w:lineRule="auto"/>
              <w:jc w:val="center"/>
              <w:rPr>
                <w:b/>
                <w:bCs/>
              </w:rPr>
            </w:pPr>
            <w:r>
              <w:rPr>
                <w:b/>
                <w:bCs/>
              </w:rPr>
              <w:t>温度(℃)</w:t>
            </w:r>
          </w:p>
        </w:tc>
        <w:tc>
          <w:tcPr>
            <w:tcW w:w="1564" w:type="dxa"/>
            <w:tcBorders>
              <w:tl2br w:val="nil"/>
              <w:tr2bl w:val="nil"/>
            </w:tcBorders>
            <w:vAlign w:val="center"/>
          </w:tcPr>
          <w:p>
            <w:pPr>
              <w:spacing w:line="360" w:lineRule="auto"/>
              <w:jc w:val="center"/>
              <w:rPr>
                <w:b/>
                <w:bCs/>
              </w:rPr>
            </w:pPr>
            <w:r>
              <w:rPr>
                <w:b/>
                <w:bCs/>
              </w:rPr>
              <w:t>大气压（kPa）</w:t>
            </w:r>
          </w:p>
        </w:tc>
        <w:tc>
          <w:tcPr>
            <w:tcW w:w="1627" w:type="dxa"/>
            <w:tcBorders>
              <w:tl2br w:val="nil"/>
              <w:tr2bl w:val="nil"/>
            </w:tcBorders>
            <w:vAlign w:val="center"/>
          </w:tcPr>
          <w:p>
            <w:pPr>
              <w:spacing w:line="360" w:lineRule="auto"/>
              <w:jc w:val="center"/>
              <w:rPr>
                <w:b/>
                <w:bCs/>
              </w:rPr>
            </w:pPr>
            <w:r>
              <w:rPr>
                <w:b/>
                <w:bCs/>
              </w:rPr>
              <w:t>风向</w:t>
            </w:r>
          </w:p>
        </w:tc>
        <w:tc>
          <w:tcPr>
            <w:tcW w:w="1604" w:type="dxa"/>
            <w:tcBorders>
              <w:tl2br w:val="nil"/>
              <w:tr2bl w:val="nil"/>
            </w:tcBorders>
            <w:vAlign w:val="center"/>
          </w:tcPr>
          <w:p>
            <w:pPr>
              <w:spacing w:line="360" w:lineRule="auto"/>
              <w:jc w:val="center"/>
              <w:rPr>
                <w:b/>
                <w:bCs/>
              </w:rPr>
            </w:pPr>
            <w:r>
              <w:rPr>
                <w:b/>
                <w:bCs/>
              </w:rPr>
              <w:t>风速(m/s)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92" w:type="dxa"/>
            <w:vMerge w:val="restart"/>
            <w:tcBorders>
              <w:tl2br w:val="nil"/>
              <w:tr2bl w:val="nil"/>
            </w:tcBorders>
            <w:vAlign w:val="center"/>
          </w:tcPr>
          <w:p>
            <w:pPr>
              <w:spacing w:line="360" w:lineRule="auto"/>
              <w:jc w:val="center"/>
              <w:rPr>
                <w:rFonts w:hint="default" w:eastAsia="宋体"/>
                <w:lang w:val="en-US" w:eastAsia="zh-CN"/>
              </w:rPr>
            </w:pPr>
            <w:r>
              <w:rPr>
                <w:rFonts w:hint="eastAsia"/>
              </w:rPr>
              <w:t>2024</w:t>
            </w:r>
            <w:r>
              <w:rPr>
                <w:rFonts w:hint="eastAsia"/>
                <w:lang w:val="en-US" w:eastAsia="zh-CN"/>
              </w:rPr>
              <w:t>.7.14</w:t>
            </w:r>
          </w:p>
        </w:tc>
        <w:tc>
          <w:tcPr>
            <w:tcW w:w="1359" w:type="dxa"/>
            <w:tcBorders>
              <w:tl2br w:val="nil"/>
              <w:tr2bl w:val="nil"/>
            </w:tcBorders>
            <w:vAlign w:val="center"/>
          </w:tcPr>
          <w:p>
            <w:pPr>
              <w:pStyle w:val="140"/>
              <w:widowControl/>
              <w:jc w:val="center"/>
              <w:rPr>
                <w:rFonts w:ascii="Times New Roman" w:hAnsi="Times New Roman" w:eastAsia="宋体" w:cs="Times New Roman"/>
                <w:color w:val="auto"/>
                <w:sz w:val="24"/>
                <w:szCs w:val="24"/>
                <w:lang w:val="en-US" w:eastAsia="zh-CN" w:bidi="ar-SA"/>
              </w:rPr>
            </w:pPr>
            <w:r>
              <w:rPr>
                <w:rFonts w:ascii="Times New Roman"/>
                <w:color w:val="auto"/>
                <w:szCs w:val="24"/>
              </w:rPr>
              <w:t>27.6</w:t>
            </w:r>
          </w:p>
        </w:tc>
        <w:tc>
          <w:tcPr>
            <w:tcW w:w="1564" w:type="dxa"/>
            <w:tcBorders>
              <w:tl2br w:val="nil"/>
              <w:tr2bl w:val="nil"/>
            </w:tcBorders>
            <w:vAlign w:val="center"/>
          </w:tcPr>
          <w:p>
            <w:pPr>
              <w:pStyle w:val="140"/>
              <w:widowControl/>
              <w:jc w:val="center"/>
              <w:rPr>
                <w:rFonts w:ascii="Times New Roman" w:hAnsi="Times New Roman" w:eastAsia="宋体" w:cs="Times New Roman"/>
                <w:color w:val="auto"/>
                <w:sz w:val="24"/>
                <w:szCs w:val="24"/>
                <w:lang w:val="en-US" w:eastAsia="zh-CN" w:bidi="ar-SA"/>
              </w:rPr>
            </w:pPr>
            <w:r>
              <w:rPr>
                <w:rFonts w:ascii="Times New Roman"/>
                <w:color w:val="auto"/>
                <w:szCs w:val="24"/>
              </w:rPr>
              <w:t>99.9</w:t>
            </w:r>
          </w:p>
        </w:tc>
        <w:tc>
          <w:tcPr>
            <w:tcW w:w="1627" w:type="dxa"/>
            <w:tcBorders>
              <w:tl2br w:val="nil"/>
              <w:tr2bl w:val="nil"/>
            </w:tcBorders>
          </w:tcPr>
          <w:p>
            <w:pPr>
              <w:spacing w:line="360" w:lineRule="auto"/>
              <w:jc w:val="center"/>
            </w:pPr>
            <w:r>
              <w:rPr>
                <w:rFonts w:hint="eastAsia"/>
              </w:rPr>
              <w:t>南</w:t>
            </w:r>
          </w:p>
        </w:tc>
        <w:tc>
          <w:tcPr>
            <w:tcW w:w="1604" w:type="dxa"/>
            <w:tcBorders>
              <w:tl2br w:val="nil"/>
              <w:tr2bl w:val="nil"/>
            </w:tcBorders>
            <w:vAlign w:val="center"/>
          </w:tcPr>
          <w:p>
            <w:pPr>
              <w:pStyle w:val="140"/>
              <w:widowControl/>
              <w:jc w:val="center"/>
              <w:rPr>
                <w:rFonts w:ascii="Times New Roman" w:hAnsi="Times New Roman" w:eastAsia="宋体" w:cs="Times New Roman"/>
                <w:color w:val="auto"/>
                <w:sz w:val="24"/>
                <w:szCs w:val="24"/>
                <w:lang w:val="en-US" w:eastAsia="zh-CN" w:bidi="ar-SA"/>
              </w:rPr>
            </w:pPr>
            <w:r>
              <w:rPr>
                <w:rFonts w:ascii="Times New Roman"/>
                <w:color w:val="auto"/>
                <w:szCs w:val="24"/>
              </w:rPr>
              <w:t>1.7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92" w:type="dxa"/>
            <w:vMerge w:val="continue"/>
            <w:tcBorders>
              <w:tl2br w:val="nil"/>
              <w:tr2bl w:val="nil"/>
            </w:tcBorders>
            <w:vAlign w:val="center"/>
          </w:tcPr>
          <w:p>
            <w:pPr>
              <w:spacing w:line="360" w:lineRule="auto"/>
              <w:jc w:val="center"/>
            </w:pPr>
          </w:p>
        </w:tc>
        <w:tc>
          <w:tcPr>
            <w:tcW w:w="1359" w:type="dxa"/>
            <w:tcBorders>
              <w:tl2br w:val="nil"/>
              <w:tr2bl w:val="nil"/>
            </w:tcBorders>
            <w:vAlign w:val="center"/>
          </w:tcPr>
          <w:p>
            <w:pPr>
              <w:pStyle w:val="140"/>
              <w:jc w:val="center"/>
              <w:rPr>
                <w:rFonts w:ascii="Times New Roman" w:hAnsi="Times New Roman" w:eastAsia="宋体" w:cs="Times New Roman"/>
                <w:color w:val="000000"/>
                <w:sz w:val="24"/>
                <w:szCs w:val="22"/>
                <w:lang w:val="en-US" w:eastAsia="zh-CN" w:bidi="ar-SA"/>
              </w:rPr>
            </w:pPr>
            <w:r>
              <w:rPr>
                <w:rFonts w:ascii="Times New Roman"/>
              </w:rPr>
              <w:t>30.2</w:t>
            </w:r>
          </w:p>
        </w:tc>
        <w:tc>
          <w:tcPr>
            <w:tcW w:w="1564" w:type="dxa"/>
            <w:tcBorders>
              <w:tl2br w:val="nil"/>
              <w:tr2bl w:val="nil"/>
            </w:tcBorders>
            <w:vAlign w:val="center"/>
          </w:tcPr>
          <w:p>
            <w:pPr>
              <w:pStyle w:val="140"/>
              <w:jc w:val="center"/>
              <w:rPr>
                <w:rFonts w:ascii="Times New Roman" w:hAnsi="Times New Roman" w:eastAsia="宋体" w:cs="Times New Roman"/>
                <w:color w:val="000000"/>
                <w:sz w:val="24"/>
                <w:szCs w:val="22"/>
                <w:lang w:val="en-US" w:eastAsia="zh-CN" w:bidi="ar-SA"/>
              </w:rPr>
            </w:pPr>
            <w:r>
              <w:rPr>
                <w:rFonts w:ascii="Times New Roman"/>
              </w:rPr>
              <w:t>99.9</w:t>
            </w:r>
          </w:p>
        </w:tc>
        <w:tc>
          <w:tcPr>
            <w:tcW w:w="1627" w:type="dxa"/>
            <w:tcBorders>
              <w:tl2br w:val="nil"/>
              <w:tr2bl w:val="nil"/>
            </w:tcBorders>
          </w:tcPr>
          <w:p>
            <w:pPr>
              <w:spacing w:line="360" w:lineRule="auto"/>
              <w:jc w:val="center"/>
            </w:pPr>
            <w:r>
              <w:rPr>
                <w:rFonts w:hint="eastAsia"/>
              </w:rPr>
              <w:t>南</w:t>
            </w:r>
          </w:p>
        </w:tc>
        <w:tc>
          <w:tcPr>
            <w:tcW w:w="1604" w:type="dxa"/>
            <w:tcBorders>
              <w:tl2br w:val="nil"/>
              <w:tr2bl w:val="nil"/>
            </w:tcBorders>
            <w:vAlign w:val="center"/>
          </w:tcPr>
          <w:p>
            <w:pPr>
              <w:pStyle w:val="140"/>
              <w:jc w:val="center"/>
              <w:rPr>
                <w:rFonts w:ascii="Times New Roman" w:hAnsi="Times New Roman" w:eastAsia="宋体" w:cs="Times New Roman"/>
                <w:color w:val="000000"/>
                <w:sz w:val="24"/>
                <w:szCs w:val="22"/>
                <w:lang w:val="en-US" w:eastAsia="zh-CN" w:bidi="ar-SA"/>
              </w:rPr>
            </w:pPr>
            <w:r>
              <w:rPr>
                <w:rFonts w:ascii="Times New Roman"/>
              </w:rPr>
              <w:t>1.8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92" w:type="dxa"/>
            <w:vMerge w:val="continue"/>
            <w:tcBorders>
              <w:tl2br w:val="nil"/>
              <w:tr2bl w:val="nil"/>
            </w:tcBorders>
            <w:vAlign w:val="center"/>
          </w:tcPr>
          <w:p>
            <w:pPr>
              <w:spacing w:line="360" w:lineRule="auto"/>
              <w:jc w:val="center"/>
            </w:pPr>
          </w:p>
        </w:tc>
        <w:tc>
          <w:tcPr>
            <w:tcW w:w="1359" w:type="dxa"/>
            <w:tcBorders>
              <w:tl2br w:val="nil"/>
              <w:tr2bl w:val="nil"/>
            </w:tcBorders>
            <w:vAlign w:val="center"/>
          </w:tcPr>
          <w:p>
            <w:pPr>
              <w:pStyle w:val="140"/>
              <w:jc w:val="center"/>
              <w:rPr>
                <w:rFonts w:ascii="Times New Roman" w:hAnsi="Times New Roman" w:eastAsia="宋体" w:cs="Times New Roman"/>
                <w:color w:val="000000"/>
                <w:sz w:val="24"/>
                <w:szCs w:val="22"/>
                <w:lang w:val="en-US" w:eastAsia="zh-CN" w:bidi="ar-SA"/>
              </w:rPr>
            </w:pPr>
            <w:r>
              <w:rPr>
                <w:rFonts w:ascii="Times New Roman"/>
              </w:rPr>
              <w:t>30.7</w:t>
            </w:r>
          </w:p>
        </w:tc>
        <w:tc>
          <w:tcPr>
            <w:tcW w:w="1564" w:type="dxa"/>
            <w:tcBorders>
              <w:tl2br w:val="nil"/>
              <w:tr2bl w:val="nil"/>
            </w:tcBorders>
            <w:vAlign w:val="center"/>
          </w:tcPr>
          <w:p>
            <w:pPr>
              <w:pStyle w:val="140"/>
              <w:jc w:val="center"/>
              <w:rPr>
                <w:rFonts w:ascii="Times New Roman" w:hAnsi="Times New Roman" w:eastAsia="宋体" w:cs="Times New Roman"/>
                <w:color w:val="000000"/>
                <w:sz w:val="24"/>
                <w:szCs w:val="22"/>
                <w:lang w:val="en-US" w:eastAsia="zh-CN" w:bidi="ar-SA"/>
              </w:rPr>
            </w:pPr>
            <w:r>
              <w:rPr>
                <w:rFonts w:ascii="Times New Roman"/>
              </w:rPr>
              <w:t>100.2</w:t>
            </w:r>
          </w:p>
        </w:tc>
        <w:tc>
          <w:tcPr>
            <w:tcW w:w="1627" w:type="dxa"/>
            <w:tcBorders>
              <w:tl2br w:val="nil"/>
              <w:tr2bl w:val="nil"/>
            </w:tcBorders>
          </w:tcPr>
          <w:p>
            <w:pPr>
              <w:spacing w:line="360" w:lineRule="auto"/>
              <w:jc w:val="center"/>
            </w:pPr>
            <w:r>
              <w:rPr>
                <w:rFonts w:hint="eastAsia"/>
              </w:rPr>
              <w:t>南</w:t>
            </w:r>
          </w:p>
        </w:tc>
        <w:tc>
          <w:tcPr>
            <w:tcW w:w="1604" w:type="dxa"/>
            <w:tcBorders>
              <w:tl2br w:val="nil"/>
              <w:tr2bl w:val="nil"/>
            </w:tcBorders>
            <w:vAlign w:val="center"/>
          </w:tcPr>
          <w:p>
            <w:pPr>
              <w:pStyle w:val="140"/>
              <w:jc w:val="center"/>
              <w:rPr>
                <w:rFonts w:ascii="Times New Roman" w:hAnsi="Times New Roman" w:eastAsia="宋体" w:cs="Times New Roman"/>
                <w:color w:val="000000"/>
                <w:sz w:val="24"/>
                <w:szCs w:val="22"/>
                <w:lang w:val="en-US" w:eastAsia="zh-CN" w:bidi="ar-SA"/>
              </w:rPr>
            </w:pPr>
            <w:r>
              <w:rPr>
                <w:rFonts w:ascii="Times New Roman"/>
              </w:rPr>
              <w:t>1.8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92" w:type="dxa"/>
            <w:vMerge w:val="continue"/>
            <w:tcBorders>
              <w:tl2br w:val="nil"/>
              <w:tr2bl w:val="nil"/>
            </w:tcBorders>
            <w:vAlign w:val="center"/>
          </w:tcPr>
          <w:p>
            <w:pPr>
              <w:spacing w:line="360" w:lineRule="auto"/>
              <w:jc w:val="center"/>
            </w:pPr>
          </w:p>
        </w:tc>
        <w:tc>
          <w:tcPr>
            <w:tcW w:w="1359" w:type="dxa"/>
            <w:tcBorders>
              <w:tl2br w:val="nil"/>
              <w:tr2bl w:val="nil"/>
            </w:tcBorders>
            <w:vAlign w:val="center"/>
          </w:tcPr>
          <w:p>
            <w:pPr>
              <w:pStyle w:val="140"/>
              <w:jc w:val="center"/>
              <w:rPr>
                <w:rFonts w:ascii="Times New Roman" w:hAnsi="Times New Roman" w:eastAsia="宋体" w:cs="Times New Roman"/>
                <w:color w:val="000000"/>
                <w:sz w:val="24"/>
                <w:szCs w:val="22"/>
                <w:lang w:val="en-US" w:eastAsia="zh-CN" w:bidi="ar-SA"/>
              </w:rPr>
            </w:pPr>
            <w:r>
              <w:rPr>
                <w:rFonts w:ascii="Times New Roman"/>
              </w:rPr>
              <w:t>31.2</w:t>
            </w:r>
          </w:p>
        </w:tc>
        <w:tc>
          <w:tcPr>
            <w:tcW w:w="1564" w:type="dxa"/>
            <w:tcBorders>
              <w:tl2br w:val="nil"/>
              <w:tr2bl w:val="nil"/>
            </w:tcBorders>
            <w:vAlign w:val="center"/>
          </w:tcPr>
          <w:p>
            <w:pPr>
              <w:pStyle w:val="140"/>
              <w:jc w:val="center"/>
              <w:rPr>
                <w:rFonts w:ascii="Times New Roman" w:hAnsi="Times New Roman" w:eastAsia="宋体" w:cs="Times New Roman"/>
                <w:color w:val="000000"/>
                <w:sz w:val="24"/>
                <w:szCs w:val="22"/>
                <w:lang w:val="en-US" w:eastAsia="zh-CN" w:bidi="ar-SA"/>
              </w:rPr>
            </w:pPr>
            <w:r>
              <w:rPr>
                <w:rFonts w:ascii="Times New Roman"/>
              </w:rPr>
              <w:t>100.2</w:t>
            </w:r>
          </w:p>
        </w:tc>
        <w:tc>
          <w:tcPr>
            <w:tcW w:w="1627" w:type="dxa"/>
            <w:tcBorders>
              <w:tl2br w:val="nil"/>
              <w:tr2bl w:val="nil"/>
            </w:tcBorders>
          </w:tcPr>
          <w:p>
            <w:pPr>
              <w:spacing w:line="360" w:lineRule="auto"/>
              <w:jc w:val="center"/>
            </w:pPr>
            <w:r>
              <w:rPr>
                <w:rFonts w:hint="eastAsia"/>
              </w:rPr>
              <w:t>南</w:t>
            </w:r>
          </w:p>
        </w:tc>
        <w:tc>
          <w:tcPr>
            <w:tcW w:w="1604" w:type="dxa"/>
            <w:tcBorders>
              <w:tl2br w:val="nil"/>
              <w:tr2bl w:val="nil"/>
            </w:tcBorders>
            <w:vAlign w:val="center"/>
          </w:tcPr>
          <w:p>
            <w:pPr>
              <w:pStyle w:val="140"/>
              <w:jc w:val="center"/>
              <w:rPr>
                <w:rFonts w:ascii="Times New Roman" w:hAnsi="Times New Roman" w:eastAsia="宋体" w:cs="Times New Roman"/>
                <w:color w:val="000000"/>
                <w:sz w:val="24"/>
                <w:szCs w:val="22"/>
                <w:lang w:val="en-US" w:eastAsia="zh-CN" w:bidi="ar-SA"/>
              </w:rPr>
            </w:pPr>
            <w:r>
              <w:rPr>
                <w:rFonts w:ascii="Times New Roman"/>
              </w:rPr>
              <w:t>1.7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92" w:type="dxa"/>
            <w:vMerge w:val="restart"/>
            <w:tcBorders>
              <w:tl2br w:val="nil"/>
              <w:tr2bl w:val="nil"/>
            </w:tcBorders>
            <w:vAlign w:val="center"/>
          </w:tcPr>
          <w:p>
            <w:pPr>
              <w:spacing w:line="360" w:lineRule="auto"/>
              <w:jc w:val="center"/>
              <w:rPr>
                <w:rFonts w:hint="default" w:eastAsia="宋体"/>
                <w:lang w:val="en-US" w:eastAsia="zh-CN"/>
              </w:rPr>
            </w:pPr>
            <w:r>
              <w:rPr>
                <w:rFonts w:hint="eastAsia"/>
              </w:rPr>
              <w:t>2024.</w:t>
            </w:r>
            <w:r>
              <w:rPr>
                <w:rFonts w:hint="eastAsia"/>
                <w:lang w:val="en-US" w:eastAsia="zh-CN"/>
              </w:rPr>
              <w:t>7.15</w:t>
            </w:r>
          </w:p>
        </w:tc>
        <w:tc>
          <w:tcPr>
            <w:tcW w:w="1359" w:type="dxa"/>
            <w:tcBorders>
              <w:tl2br w:val="nil"/>
              <w:tr2bl w:val="nil"/>
            </w:tcBorders>
            <w:vAlign w:val="center"/>
          </w:tcPr>
          <w:p>
            <w:pPr>
              <w:pStyle w:val="141"/>
              <w:widowControl/>
              <w:jc w:val="center"/>
              <w:rPr>
                <w:rFonts w:ascii="Times New Roman" w:hAnsi="Times New Roman" w:eastAsia="宋体" w:cs="Times New Roman"/>
                <w:color w:val="auto"/>
                <w:sz w:val="24"/>
                <w:szCs w:val="24"/>
                <w:lang w:val="en-US" w:eastAsia="zh-CN" w:bidi="ar-SA"/>
              </w:rPr>
            </w:pPr>
            <w:r>
              <w:rPr>
                <w:rFonts w:ascii="Times New Roman"/>
                <w:color w:val="auto"/>
                <w:szCs w:val="24"/>
              </w:rPr>
              <w:t>28.1</w:t>
            </w:r>
          </w:p>
        </w:tc>
        <w:tc>
          <w:tcPr>
            <w:tcW w:w="1564" w:type="dxa"/>
            <w:tcBorders>
              <w:tl2br w:val="nil"/>
              <w:tr2bl w:val="nil"/>
            </w:tcBorders>
            <w:vAlign w:val="center"/>
          </w:tcPr>
          <w:p>
            <w:pPr>
              <w:pStyle w:val="141"/>
              <w:widowControl/>
              <w:jc w:val="center"/>
              <w:rPr>
                <w:rFonts w:ascii="Times New Roman" w:hAnsi="Times New Roman" w:eastAsia="宋体" w:cs="Times New Roman"/>
                <w:color w:val="auto"/>
                <w:sz w:val="24"/>
                <w:szCs w:val="24"/>
                <w:lang w:val="en-US" w:eastAsia="zh-CN" w:bidi="ar-SA"/>
              </w:rPr>
            </w:pPr>
            <w:r>
              <w:rPr>
                <w:rFonts w:ascii="Times New Roman"/>
                <w:color w:val="auto"/>
                <w:szCs w:val="24"/>
              </w:rPr>
              <w:t>99.9</w:t>
            </w:r>
          </w:p>
        </w:tc>
        <w:tc>
          <w:tcPr>
            <w:tcW w:w="1627" w:type="dxa"/>
            <w:tcBorders>
              <w:tl2br w:val="nil"/>
              <w:tr2bl w:val="nil"/>
            </w:tcBorders>
          </w:tcPr>
          <w:p>
            <w:pPr>
              <w:spacing w:line="360" w:lineRule="auto"/>
              <w:jc w:val="center"/>
              <w:rPr>
                <w:highlight w:val="yellow"/>
              </w:rPr>
            </w:pPr>
            <w:r>
              <w:rPr>
                <w:rFonts w:hint="eastAsia"/>
              </w:rPr>
              <w:t>南</w:t>
            </w:r>
          </w:p>
        </w:tc>
        <w:tc>
          <w:tcPr>
            <w:tcW w:w="1604" w:type="dxa"/>
            <w:tcBorders>
              <w:tl2br w:val="nil"/>
              <w:tr2bl w:val="nil"/>
            </w:tcBorders>
            <w:vAlign w:val="center"/>
          </w:tcPr>
          <w:p>
            <w:pPr>
              <w:pStyle w:val="141"/>
              <w:widowControl/>
              <w:jc w:val="center"/>
              <w:rPr>
                <w:rFonts w:ascii="Times New Roman"/>
                <w:color w:val="auto"/>
                <w:szCs w:val="24"/>
              </w:rPr>
            </w:pPr>
            <w:r>
              <w:rPr>
                <w:rFonts w:ascii="Times New Roman"/>
                <w:color w:val="auto"/>
                <w:szCs w:val="24"/>
              </w:rPr>
              <w:t>1.6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92" w:type="dxa"/>
            <w:vMerge w:val="continue"/>
            <w:tcBorders>
              <w:tl2br w:val="nil"/>
              <w:tr2bl w:val="nil"/>
            </w:tcBorders>
            <w:vAlign w:val="center"/>
          </w:tcPr>
          <w:p>
            <w:pPr>
              <w:spacing w:line="360" w:lineRule="auto"/>
              <w:jc w:val="center"/>
            </w:pPr>
          </w:p>
        </w:tc>
        <w:tc>
          <w:tcPr>
            <w:tcW w:w="1359" w:type="dxa"/>
            <w:tcBorders>
              <w:tl2br w:val="nil"/>
              <w:tr2bl w:val="nil"/>
            </w:tcBorders>
            <w:vAlign w:val="center"/>
          </w:tcPr>
          <w:p>
            <w:pPr>
              <w:pStyle w:val="141"/>
              <w:jc w:val="center"/>
              <w:rPr>
                <w:rFonts w:ascii="Times New Roman" w:hAnsi="Times New Roman" w:eastAsia="宋体" w:cs="Times New Roman"/>
                <w:color w:val="000000"/>
                <w:sz w:val="24"/>
                <w:szCs w:val="22"/>
                <w:lang w:val="en-US" w:eastAsia="zh-CN" w:bidi="ar-SA"/>
              </w:rPr>
            </w:pPr>
            <w:r>
              <w:rPr>
                <w:rFonts w:ascii="Times New Roman"/>
              </w:rPr>
              <w:t>29.4</w:t>
            </w:r>
          </w:p>
        </w:tc>
        <w:tc>
          <w:tcPr>
            <w:tcW w:w="1564" w:type="dxa"/>
            <w:tcBorders>
              <w:tl2br w:val="nil"/>
              <w:tr2bl w:val="nil"/>
            </w:tcBorders>
            <w:vAlign w:val="center"/>
          </w:tcPr>
          <w:p>
            <w:pPr>
              <w:pStyle w:val="141"/>
              <w:jc w:val="center"/>
              <w:rPr>
                <w:rFonts w:ascii="Times New Roman" w:hAnsi="Times New Roman" w:eastAsia="宋体" w:cs="Times New Roman"/>
                <w:color w:val="000000"/>
                <w:sz w:val="24"/>
                <w:szCs w:val="22"/>
                <w:lang w:val="en-US" w:eastAsia="zh-CN" w:bidi="ar-SA"/>
              </w:rPr>
            </w:pPr>
            <w:r>
              <w:rPr>
                <w:rFonts w:ascii="Times New Roman"/>
              </w:rPr>
              <w:t>99.9</w:t>
            </w:r>
          </w:p>
        </w:tc>
        <w:tc>
          <w:tcPr>
            <w:tcW w:w="1627" w:type="dxa"/>
            <w:tcBorders>
              <w:tl2br w:val="nil"/>
              <w:tr2bl w:val="nil"/>
            </w:tcBorders>
          </w:tcPr>
          <w:p>
            <w:pPr>
              <w:spacing w:line="360" w:lineRule="auto"/>
              <w:jc w:val="center"/>
              <w:rPr>
                <w:highlight w:val="yellow"/>
              </w:rPr>
            </w:pPr>
            <w:r>
              <w:rPr>
                <w:rFonts w:hint="eastAsia"/>
              </w:rPr>
              <w:t>南</w:t>
            </w:r>
          </w:p>
        </w:tc>
        <w:tc>
          <w:tcPr>
            <w:tcW w:w="1604" w:type="dxa"/>
            <w:tcBorders>
              <w:tl2br w:val="nil"/>
              <w:tr2bl w:val="nil"/>
            </w:tcBorders>
            <w:vAlign w:val="center"/>
          </w:tcPr>
          <w:p>
            <w:pPr>
              <w:pStyle w:val="141"/>
              <w:jc w:val="center"/>
              <w:rPr>
                <w:rFonts w:ascii="Times New Roman"/>
              </w:rPr>
            </w:pPr>
            <w:r>
              <w:rPr>
                <w:rFonts w:ascii="Times New Roman"/>
              </w:rPr>
              <w:t>1.6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92" w:type="dxa"/>
            <w:vMerge w:val="continue"/>
            <w:tcBorders>
              <w:tl2br w:val="nil"/>
              <w:tr2bl w:val="nil"/>
            </w:tcBorders>
            <w:vAlign w:val="center"/>
          </w:tcPr>
          <w:p>
            <w:pPr>
              <w:spacing w:line="360" w:lineRule="auto"/>
              <w:jc w:val="center"/>
            </w:pPr>
          </w:p>
        </w:tc>
        <w:tc>
          <w:tcPr>
            <w:tcW w:w="1359" w:type="dxa"/>
            <w:tcBorders>
              <w:tl2br w:val="nil"/>
              <w:tr2bl w:val="nil"/>
            </w:tcBorders>
            <w:vAlign w:val="center"/>
          </w:tcPr>
          <w:p>
            <w:pPr>
              <w:pStyle w:val="141"/>
              <w:jc w:val="center"/>
              <w:rPr>
                <w:rFonts w:ascii="Times New Roman" w:hAnsi="Times New Roman" w:eastAsia="宋体" w:cs="Times New Roman"/>
                <w:color w:val="000000"/>
                <w:sz w:val="24"/>
                <w:szCs w:val="22"/>
                <w:lang w:val="en-US" w:eastAsia="zh-CN" w:bidi="ar-SA"/>
              </w:rPr>
            </w:pPr>
            <w:r>
              <w:rPr>
                <w:rFonts w:ascii="Times New Roman"/>
              </w:rPr>
              <w:t>30.2</w:t>
            </w:r>
          </w:p>
        </w:tc>
        <w:tc>
          <w:tcPr>
            <w:tcW w:w="1564" w:type="dxa"/>
            <w:tcBorders>
              <w:tl2br w:val="nil"/>
              <w:tr2bl w:val="nil"/>
            </w:tcBorders>
            <w:vAlign w:val="center"/>
          </w:tcPr>
          <w:p>
            <w:pPr>
              <w:pStyle w:val="141"/>
              <w:jc w:val="center"/>
              <w:rPr>
                <w:rFonts w:ascii="Times New Roman" w:hAnsi="Times New Roman" w:eastAsia="宋体" w:cs="Times New Roman"/>
                <w:color w:val="000000"/>
                <w:sz w:val="24"/>
                <w:szCs w:val="22"/>
                <w:lang w:val="en-US" w:eastAsia="zh-CN" w:bidi="ar-SA"/>
              </w:rPr>
            </w:pPr>
            <w:r>
              <w:rPr>
                <w:rFonts w:ascii="Times New Roman"/>
              </w:rPr>
              <w:t>100.0</w:t>
            </w:r>
          </w:p>
        </w:tc>
        <w:tc>
          <w:tcPr>
            <w:tcW w:w="1627" w:type="dxa"/>
            <w:tcBorders>
              <w:tl2br w:val="nil"/>
              <w:tr2bl w:val="nil"/>
            </w:tcBorders>
          </w:tcPr>
          <w:p>
            <w:pPr>
              <w:spacing w:line="360" w:lineRule="auto"/>
              <w:jc w:val="center"/>
              <w:rPr>
                <w:highlight w:val="yellow"/>
              </w:rPr>
            </w:pPr>
            <w:r>
              <w:rPr>
                <w:rFonts w:hint="eastAsia"/>
              </w:rPr>
              <w:t>南</w:t>
            </w:r>
          </w:p>
        </w:tc>
        <w:tc>
          <w:tcPr>
            <w:tcW w:w="1604" w:type="dxa"/>
            <w:tcBorders>
              <w:tl2br w:val="nil"/>
              <w:tr2bl w:val="nil"/>
            </w:tcBorders>
            <w:vAlign w:val="center"/>
          </w:tcPr>
          <w:p>
            <w:pPr>
              <w:pStyle w:val="141"/>
              <w:jc w:val="center"/>
              <w:rPr>
                <w:rFonts w:ascii="Times New Roman"/>
              </w:rPr>
            </w:pPr>
            <w:r>
              <w:rPr>
                <w:rFonts w:ascii="Times New Roman"/>
              </w:rPr>
              <w:t>1.7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92" w:type="dxa"/>
            <w:vMerge w:val="continue"/>
            <w:tcBorders>
              <w:tl2br w:val="nil"/>
              <w:tr2bl w:val="nil"/>
            </w:tcBorders>
            <w:vAlign w:val="center"/>
          </w:tcPr>
          <w:p>
            <w:pPr>
              <w:spacing w:line="360" w:lineRule="auto"/>
              <w:jc w:val="center"/>
              <w:rPr>
                <w:highlight w:val="yellow"/>
              </w:rPr>
            </w:pPr>
          </w:p>
        </w:tc>
        <w:tc>
          <w:tcPr>
            <w:tcW w:w="1359" w:type="dxa"/>
            <w:tcBorders>
              <w:tl2br w:val="nil"/>
              <w:tr2bl w:val="nil"/>
            </w:tcBorders>
            <w:vAlign w:val="center"/>
          </w:tcPr>
          <w:p>
            <w:pPr>
              <w:pStyle w:val="141"/>
              <w:jc w:val="center"/>
              <w:rPr>
                <w:rFonts w:ascii="Times New Roman" w:hAnsi="Times New Roman" w:eastAsia="宋体" w:cs="Times New Roman"/>
                <w:color w:val="000000"/>
                <w:sz w:val="24"/>
                <w:szCs w:val="22"/>
                <w:lang w:val="en-US" w:eastAsia="zh-CN" w:bidi="ar-SA"/>
              </w:rPr>
            </w:pPr>
            <w:r>
              <w:rPr>
                <w:rFonts w:ascii="Times New Roman"/>
              </w:rPr>
              <w:t>31.2</w:t>
            </w:r>
          </w:p>
        </w:tc>
        <w:tc>
          <w:tcPr>
            <w:tcW w:w="1564" w:type="dxa"/>
            <w:tcBorders>
              <w:tl2br w:val="nil"/>
              <w:tr2bl w:val="nil"/>
            </w:tcBorders>
            <w:vAlign w:val="center"/>
          </w:tcPr>
          <w:p>
            <w:pPr>
              <w:pStyle w:val="141"/>
              <w:jc w:val="center"/>
              <w:rPr>
                <w:rFonts w:ascii="Times New Roman" w:hAnsi="Times New Roman" w:eastAsia="宋体" w:cs="Times New Roman"/>
                <w:color w:val="000000"/>
                <w:sz w:val="24"/>
                <w:szCs w:val="22"/>
                <w:lang w:val="en-US" w:eastAsia="zh-CN" w:bidi="ar-SA"/>
              </w:rPr>
            </w:pPr>
            <w:r>
              <w:rPr>
                <w:rFonts w:ascii="Times New Roman"/>
              </w:rPr>
              <w:t>100.0</w:t>
            </w:r>
          </w:p>
        </w:tc>
        <w:tc>
          <w:tcPr>
            <w:tcW w:w="1627" w:type="dxa"/>
            <w:tcBorders>
              <w:tl2br w:val="nil"/>
              <w:tr2bl w:val="nil"/>
            </w:tcBorders>
          </w:tcPr>
          <w:p>
            <w:pPr>
              <w:spacing w:line="360" w:lineRule="auto"/>
              <w:jc w:val="center"/>
              <w:rPr>
                <w:highlight w:val="yellow"/>
              </w:rPr>
            </w:pPr>
            <w:r>
              <w:rPr>
                <w:rFonts w:hint="eastAsia"/>
              </w:rPr>
              <w:t>南</w:t>
            </w:r>
          </w:p>
        </w:tc>
        <w:tc>
          <w:tcPr>
            <w:tcW w:w="1604" w:type="dxa"/>
            <w:tcBorders>
              <w:tl2br w:val="nil"/>
              <w:tr2bl w:val="nil"/>
            </w:tcBorders>
            <w:vAlign w:val="center"/>
          </w:tcPr>
          <w:p>
            <w:pPr>
              <w:pStyle w:val="141"/>
              <w:jc w:val="center"/>
              <w:rPr>
                <w:rFonts w:ascii="Times New Roman"/>
              </w:rPr>
            </w:pPr>
            <w:r>
              <w:rPr>
                <w:rFonts w:ascii="Times New Roman"/>
              </w:rPr>
              <w:t>1.6</w:t>
            </w:r>
          </w:p>
        </w:tc>
      </w:tr>
    </w:tbl>
    <w:p>
      <w:pPr>
        <w:pStyle w:val="2"/>
      </w:pPr>
    </w:p>
    <w:p/>
    <w:p>
      <w:pPr>
        <w:pStyle w:val="2"/>
      </w:pPr>
    </w:p>
    <w:p/>
    <w:p>
      <w:pPr>
        <w:pStyle w:val="2"/>
      </w:pPr>
    </w:p>
    <w:p/>
    <w:p>
      <w:pPr>
        <w:pStyle w:val="2"/>
      </w:pPr>
    </w:p>
    <w:p/>
    <w:p>
      <w:r>
        <w:drawing>
          <wp:anchor distT="0" distB="0" distL="114300" distR="114300" simplePos="0" relativeHeight="251710464" behindDoc="0" locked="0" layoutInCell="1" allowOverlap="1">
            <wp:simplePos x="0" y="0"/>
            <wp:positionH relativeFrom="column">
              <wp:posOffset>916305</wp:posOffset>
            </wp:positionH>
            <wp:positionV relativeFrom="paragraph">
              <wp:posOffset>90170</wp:posOffset>
            </wp:positionV>
            <wp:extent cx="3185795" cy="2749550"/>
            <wp:effectExtent l="0" t="0" r="14605" b="12700"/>
            <wp:wrapSquare wrapText="bothSides"/>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icPr>
                  <pic:blipFill>
                    <a:blip r:embed="rId55"/>
                    <a:stretch>
                      <a:fillRect/>
                    </a:stretch>
                  </pic:blipFill>
                  <pic:spPr>
                    <a:xfrm>
                      <a:off x="0" y="0"/>
                      <a:ext cx="3185795" cy="2749550"/>
                    </a:xfrm>
                    <a:prstGeom prst="rect">
                      <a:avLst/>
                    </a:prstGeom>
                    <a:noFill/>
                    <a:ln>
                      <a:noFill/>
                    </a:ln>
                  </pic:spPr>
                </pic:pic>
              </a:graphicData>
            </a:graphic>
          </wp:anchor>
        </w:drawing>
      </w:r>
    </w:p>
    <w:p>
      <w:pPr>
        <w:pStyle w:val="2"/>
      </w:pPr>
    </w:p>
    <w:p>
      <w:pPr>
        <w:pStyle w:val="2"/>
        <w:ind w:left="0" w:leftChars="0" w:firstLine="0" w:firstLineChars="0"/>
        <w:jc w:val="center"/>
        <w:rPr>
          <w:b/>
          <w:bCs/>
          <w:sz w:val="20"/>
          <w:szCs w:val="20"/>
        </w:rPr>
      </w:pPr>
    </w:p>
    <w:p>
      <w:pPr>
        <w:pStyle w:val="2"/>
        <w:ind w:left="0" w:leftChars="0" w:firstLine="0" w:firstLineChars="0"/>
        <w:jc w:val="center"/>
        <w:rPr>
          <w:b/>
          <w:bCs/>
          <w:sz w:val="20"/>
          <w:szCs w:val="20"/>
        </w:rPr>
      </w:pPr>
    </w:p>
    <w:p>
      <w:pPr>
        <w:pStyle w:val="2"/>
        <w:ind w:left="0" w:leftChars="0" w:firstLine="0" w:firstLineChars="0"/>
        <w:jc w:val="center"/>
        <w:rPr>
          <w:b/>
          <w:bCs/>
          <w:sz w:val="20"/>
          <w:szCs w:val="20"/>
        </w:rPr>
      </w:pPr>
      <w:r>
        <mc:AlternateContent>
          <mc:Choice Requires="wps">
            <w:drawing>
              <wp:anchor distT="0" distB="0" distL="114300" distR="114300" simplePos="0" relativeHeight="251711488" behindDoc="0" locked="0" layoutInCell="1" allowOverlap="1">
                <wp:simplePos x="0" y="0"/>
                <wp:positionH relativeFrom="column">
                  <wp:posOffset>2567940</wp:posOffset>
                </wp:positionH>
                <wp:positionV relativeFrom="paragraph">
                  <wp:posOffset>262255</wp:posOffset>
                </wp:positionV>
                <wp:extent cx="126365" cy="113030"/>
                <wp:effectExtent l="4445" t="4445" r="21590" b="15875"/>
                <wp:wrapNone/>
                <wp:docPr id="19" name="AutoShape 116"/>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flowChartConnector">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AutoShape 116" o:spid="_x0000_s1026" o:spt="120" type="#_x0000_t120" style="position:absolute;left:0pt;margin-left:202.2pt;margin-top:20.65pt;height:8.9pt;width:9.95pt;z-index:251711488;mso-width-relative:page;mso-height-relative:page;" fillcolor="#FFFFFF" filled="t" stroked="t" coordsize="21600,21600" o:gfxdata="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vgn4WtcAAAAJAQAADwAAAAAAAAABACAAAAAiAAAAZHJzL2Rvd25yZXYueG1sUEsBAhQA&#10;FAAAAAgAh07iQNQPMjUsAgAAdQQAAA4AAAAAAAAAAQAgAAAAJgEAAGRycy9lMm9Eb2MueG1sUEsF&#10;BgAAAAAGAAYAWQEAAMQFAAAAAA==&#10;">
                <v:fill on="t" focussize="0,0"/>
                <v:stroke color="#000000" joinstyle="round"/>
                <v:imagedata o:title=""/>
                <o:lock v:ext="edit" aspectratio="f"/>
              </v:shape>
            </w:pict>
          </mc:Fallback>
        </mc:AlternateContent>
      </w:r>
    </w:p>
    <w:p>
      <w:pPr>
        <w:pStyle w:val="2"/>
        <w:ind w:left="0" w:leftChars="0" w:firstLine="0" w:firstLineChars="0"/>
        <w:jc w:val="center"/>
        <w:rPr>
          <w:b/>
          <w:bCs/>
          <w:sz w:val="20"/>
          <w:szCs w:val="20"/>
        </w:rPr>
      </w:pPr>
    </w:p>
    <w:p>
      <w:pPr>
        <w:pStyle w:val="2"/>
        <w:ind w:left="0" w:leftChars="0" w:firstLine="0" w:firstLineChars="0"/>
        <w:jc w:val="center"/>
        <w:rPr>
          <w:b/>
          <w:bCs/>
          <w:sz w:val="20"/>
          <w:szCs w:val="20"/>
        </w:rPr>
      </w:pPr>
    </w:p>
    <w:p>
      <w:pPr>
        <w:pStyle w:val="2"/>
        <w:ind w:left="0" w:leftChars="0" w:firstLine="0" w:firstLineChars="0"/>
        <w:jc w:val="center"/>
        <w:rPr>
          <w:b/>
          <w:bCs/>
          <w:sz w:val="20"/>
          <w:szCs w:val="20"/>
        </w:rPr>
      </w:pPr>
    </w:p>
    <w:p>
      <w:pPr>
        <w:pStyle w:val="2"/>
        <w:ind w:left="0" w:leftChars="0" w:firstLine="0" w:firstLineChars="0"/>
        <w:jc w:val="center"/>
        <w:rPr>
          <w:b/>
          <w:bCs/>
          <w:sz w:val="20"/>
          <w:szCs w:val="20"/>
        </w:rPr>
      </w:pPr>
    </w:p>
    <w:p>
      <w:pPr>
        <w:pStyle w:val="2"/>
        <w:ind w:left="0" w:leftChars="0" w:firstLine="0" w:firstLineChars="0"/>
        <w:jc w:val="center"/>
        <w:rPr>
          <w:b/>
          <w:bCs/>
          <w:sz w:val="20"/>
          <w:szCs w:val="20"/>
        </w:rPr>
      </w:pPr>
    </w:p>
    <w:p>
      <w:pPr>
        <w:pStyle w:val="2"/>
        <w:ind w:left="0" w:leftChars="0" w:firstLine="0" w:firstLineChars="0"/>
        <w:jc w:val="both"/>
        <w:rPr>
          <w:b/>
          <w:bCs/>
          <w:sz w:val="20"/>
          <w:szCs w:val="20"/>
        </w:rPr>
      </w:pPr>
    </w:p>
    <w:p>
      <w:pPr>
        <w:pStyle w:val="2"/>
        <w:ind w:left="0" w:leftChars="0" w:firstLine="0" w:firstLineChars="0"/>
        <w:jc w:val="center"/>
        <w:rPr>
          <w:rFonts w:hint="eastAsia"/>
          <w:b/>
          <w:bCs/>
          <w:sz w:val="20"/>
          <w:szCs w:val="20"/>
        </w:rPr>
      </w:pPr>
      <w:r>
        <w:rPr>
          <w:b/>
          <w:bCs/>
          <w:sz w:val="20"/>
          <w:szCs w:val="20"/>
        </w:rPr>
        <w:t>图9.2-</w:t>
      </w:r>
      <w:r>
        <w:rPr>
          <w:rFonts w:hint="eastAsia"/>
          <w:b/>
          <w:bCs/>
          <w:sz w:val="20"/>
          <w:szCs w:val="20"/>
          <w:lang w:val="en-US" w:eastAsia="zh-CN"/>
        </w:rPr>
        <w:t>3</w:t>
      </w:r>
      <w:r>
        <w:rPr>
          <w:b/>
          <w:bCs/>
          <w:sz w:val="20"/>
          <w:szCs w:val="20"/>
        </w:rPr>
        <w:t xml:space="preserve"> </w:t>
      </w:r>
      <w:r>
        <w:rPr>
          <w:rFonts w:hint="eastAsia"/>
          <w:b/>
          <w:bCs/>
          <w:sz w:val="20"/>
          <w:szCs w:val="20"/>
          <w:lang w:val="en-US" w:eastAsia="zh-CN"/>
        </w:rPr>
        <w:t>厂区内装置区</w:t>
      </w:r>
      <w:r>
        <w:rPr>
          <w:rFonts w:hint="eastAsia"/>
          <w:b/>
          <w:bCs/>
          <w:sz w:val="20"/>
          <w:szCs w:val="20"/>
        </w:rPr>
        <w:t>无组织废气检测点位图（南风）</w:t>
      </w:r>
    </w:p>
    <w:p>
      <w:pPr>
        <w:rPr>
          <w:rFonts w:hint="eastAsia"/>
          <w:b/>
          <w:bCs/>
          <w:sz w:val="20"/>
          <w:szCs w:val="20"/>
        </w:rPr>
      </w:pPr>
    </w:p>
    <w:p>
      <w:pPr>
        <w:pStyle w:val="2"/>
      </w:pPr>
      <w:r>
        <w:drawing>
          <wp:anchor distT="0" distB="0" distL="114300" distR="114300" simplePos="0" relativeHeight="251712512" behindDoc="0" locked="0" layoutInCell="1" allowOverlap="1">
            <wp:simplePos x="0" y="0"/>
            <wp:positionH relativeFrom="column">
              <wp:posOffset>849630</wp:posOffset>
            </wp:positionH>
            <wp:positionV relativeFrom="paragraph">
              <wp:posOffset>-137795</wp:posOffset>
            </wp:positionV>
            <wp:extent cx="3185795" cy="2749550"/>
            <wp:effectExtent l="0" t="0" r="14605" b="12700"/>
            <wp:wrapSquare wrapText="bothSides"/>
            <wp:docPr id="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pic:cNvPicPr>
                  </pic:nvPicPr>
                  <pic:blipFill>
                    <a:blip r:embed="rId55"/>
                    <a:stretch>
                      <a:fillRect/>
                    </a:stretch>
                  </pic:blipFill>
                  <pic:spPr>
                    <a:xfrm>
                      <a:off x="0" y="0"/>
                      <a:ext cx="3185795" cy="2749550"/>
                    </a:xfrm>
                    <a:prstGeom prst="rect">
                      <a:avLst/>
                    </a:prstGeom>
                    <a:noFill/>
                    <a:ln>
                      <a:noFill/>
                    </a:ln>
                  </pic:spPr>
                </pic:pic>
              </a:graphicData>
            </a:graphic>
          </wp:anchor>
        </w:drawing>
      </w:r>
    </w:p>
    <w:p>
      <w:pPr>
        <w:bidi w:val="0"/>
      </w:pPr>
    </w:p>
    <w:p>
      <w:pPr>
        <w:bidi w:val="0"/>
      </w:pPr>
    </w:p>
    <w:p>
      <w:pPr>
        <w:bidi w:val="0"/>
      </w:pPr>
    </w:p>
    <w:p>
      <w:pPr>
        <w:bidi w:val="0"/>
      </w:pPr>
      <w:r>
        <mc:AlternateContent>
          <mc:Choice Requires="wps">
            <w:drawing>
              <wp:anchor distT="0" distB="0" distL="114300" distR="114300" simplePos="0" relativeHeight="251713536" behindDoc="0" locked="0" layoutInCell="1" allowOverlap="1">
                <wp:simplePos x="0" y="0"/>
                <wp:positionH relativeFrom="column">
                  <wp:posOffset>2475865</wp:posOffset>
                </wp:positionH>
                <wp:positionV relativeFrom="paragraph">
                  <wp:posOffset>173990</wp:posOffset>
                </wp:positionV>
                <wp:extent cx="126365" cy="113030"/>
                <wp:effectExtent l="4445" t="4445" r="21590" b="15875"/>
                <wp:wrapNone/>
                <wp:docPr id="21" name="AutoShape 116"/>
                <wp:cNvGraphicFramePr/>
                <a:graphic xmlns:a="http://schemas.openxmlformats.org/drawingml/2006/main">
                  <a:graphicData uri="http://schemas.microsoft.com/office/word/2010/wordprocessingShape">
                    <wps:wsp>
                      <wps:cNvSpPr>
                        <a:spLocks noChangeArrowheads="1"/>
                      </wps:cNvSpPr>
                      <wps:spPr bwMode="auto">
                        <a:xfrm>
                          <a:off x="0" y="0"/>
                          <a:ext cx="126365" cy="113030"/>
                        </a:xfrm>
                        <a:prstGeom prst="flowChartConnector">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AutoShape 116" o:spid="_x0000_s1026" o:spt="120" type="#_x0000_t120" style="position:absolute;left:0pt;margin-left:194.95pt;margin-top:13.7pt;height:8.9pt;width:9.95pt;z-index:251713536;mso-width-relative:page;mso-height-relative:page;" fillcolor="#FFFFFF" filled="t" stroked="t" coordsize="21600,21600" o:gfxdata="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Ebsh6LYAAAACQEAAA8AAAAAAAAAAQAgAAAAIgAAAGRycy9kb3ducmV2LnhtbFBLAQIU&#10;ABQAAAAIAIdO4kCCm3UyLAIAAHUEAAAOAAAAAAAAAAEAIAAAACcBAABkcnMvZTJvRG9jLnhtbFBL&#10;BQYAAAAABgAGAFkBAADFBQAAAAA=&#10;">
                <v:fill on="t" focussize="0,0"/>
                <v:stroke color="#000000" joinstyle="round"/>
                <v:imagedata o:title=""/>
                <o:lock v:ext="edit" aspectratio="f"/>
              </v:shape>
            </w:pict>
          </mc:Fallback>
        </mc:AlternateContent>
      </w:r>
    </w:p>
    <w:p>
      <w:pPr>
        <w:bidi w:val="0"/>
      </w:pPr>
    </w:p>
    <w:p>
      <w:pPr>
        <w:bidi w:val="0"/>
      </w:pPr>
    </w:p>
    <w:p>
      <w:pPr>
        <w:bidi w:val="0"/>
      </w:pPr>
    </w:p>
    <w:p>
      <w:pPr>
        <w:bidi w:val="0"/>
      </w:pPr>
    </w:p>
    <w:p>
      <w:pPr>
        <w:bidi w:val="0"/>
      </w:pPr>
    </w:p>
    <w:p>
      <w:pPr>
        <w:bidi w:val="0"/>
      </w:pPr>
    </w:p>
    <w:p>
      <w:pPr>
        <w:bidi w:val="0"/>
      </w:pPr>
    </w:p>
    <w:p>
      <w:pPr>
        <w:bidi w:val="0"/>
      </w:pPr>
    </w:p>
    <w:p>
      <w:pPr>
        <w:tabs>
          <w:tab w:val="left" w:pos="6860"/>
        </w:tabs>
        <w:bidi w:val="0"/>
        <w:jc w:val="left"/>
        <w:rPr>
          <w:rFonts w:hint="eastAsia"/>
          <w:lang w:eastAsia="zh-CN"/>
        </w:rPr>
      </w:pPr>
      <w:r>
        <w:rPr>
          <w:rFonts w:hint="eastAsia"/>
          <w:lang w:eastAsia="zh-CN"/>
        </w:rPr>
        <w:tab/>
      </w:r>
    </w:p>
    <w:p>
      <w:pPr>
        <w:pStyle w:val="2"/>
        <w:ind w:left="0" w:leftChars="0" w:firstLine="0" w:firstLineChars="0"/>
        <w:jc w:val="center"/>
        <w:rPr>
          <w:rFonts w:hint="eastAsia"/>
          <w:b/>
          <w:bCs/>
          <w:sz w:val="20"/>
          <w:szCs w:val="20"/>
        </w:rPr>
      </w:pPr>
      <w:r>
        <w:rPr>
          <w:b/>
          <w:bCs/>
          <w:sz w:val="20"/>
          <w:szCs w:val="20"/>
        </w:rPr>
        <w:t>图9.2-</w:t>
      </w:r>
      <w:r>
        <w:rPr>
          <w:rFonts w:hint="eastAsia"/>
          <w:b/>
          <w:bCs/>
          <w:sz w:val="20"/>
          <w:szCs w:val="20"/>
          <w:lang w:val="en-US" w:eastAsia="zh-CN"/>
        </w:rPr>
        <w:t>4</w:t>
      </w:r>
      <w:r>
        <w:rPr>
          <w:b/>
          <w:bCs/>
          <w:sz w:val="20"/>
          <w:szCs w:val="20"/>
        </w:rPr>
        <w:t xml:space="preserve"> </w:t>
      </w:r>
      <w:r>
        <w:rPr>
          <w:rFonts w:hint="eastAsia"/>
          <w:b/>
          <w:bCs/>
          <w:sz w:val="20"/>
          <w:szCs w:val="20"/>
          <w:lang w:val="en-US" w:eastAsia="zh-CN"/>
        </w:rPr>
        <w:t>厂区内装置区</w:t>
      </w:r>
      <w:r>
        <w:rPr>
          <w:rFonts w:hint="eastAsia"/>
          <w:b/>
          <w:bCs/>
          <w:sz w:val="20"/>
          <w:szCs w:val="20"/>
        </w:rPr>
        <w:t>无组织废气检测点位图（南风）</w:t>
      </w:r>
    </w:p>
    <w:p>
      <w:pPr>
        <w:rPr>
          <w:rFonts w:hint="eastAsia"/>
          <w:lang w:eastAsia="zh-CN"/>
        </w:rPr>
        <w:sectPr>
          <w:footerReference r:id="rId1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spacing w:line="360" w:lineRule="auto"/>
        <w:contextualSpacing/>
        <w:rPr>
          <w:b/>
          <w:sz w:val="24"/>
          <w:szCs w:val="24"/>
        </w:rPr>
      </w:pPr>
      <w:r>
        <w:rPr>
          <w:b/>
          <w:sz w:val="24"/>
          <w:szCs w:val="24"/>
        </w:rPr>
        <w:t>9.2.2.2无组织废气监测结果分析</w:t>
      </w:r>
    </w:p>
    <w:p>
      <w:pPr>
        <w:spacing w:line="360" w:lineRule="auto"/>
        <w:ind w:firstLine="480" w:firstLineChars="200"/>
        <w:contextualSpacing/>
        <w:rPr>
          <w:b/>
          <w:bCs/>
          <w:color w:val="000000"/>
        </w:rPr>
      </w:pPr>
      <w:r>
        <w:rPr>
          <w:sz w:val="24"/>
          <w:szCs w:val="24"/>
        </w:rPr>
        <w:t>无组织废气监测结果见表9.2-</w:t>
      </w:r>
      <w:r>
        <w:rPr>
          <w:rFonts w:hint="eastAsia"/>
          <w:sz w:val="24"/>
          <w:szCs w:val="24"/>
          <w:lang w:val="en-US" w:eastAsia="zh-CN"/>
        </w:rPr>
        <w:t>4和9.2-5</w:t>
      </w:r>
      <w:r>
        <w:rPr>
          <w:sz w:val="24"/>
          <w:szCs w:val="24"/>
        </w:rPr>
        <w:t>。</w:t>
      </w:r>
    </w:p>
    <w:p>
      <w:pPr>
        <w:suppressAutoHyphens/>
        <w:contextualSpacing/>
        <w:jc w:val="center"/>
        <w:rPr>
          <w:b/>
          <w:bCs/>
        </w:rPr>
      </w:pPr>
      <w:r>
        <w:rPr>
          <w:b/>
          <w:bCs/>
          <w:color w:val="000000"/>
        </w:rPr>
        <w:t>表9.2-</w:t>
      </w:r>
      <w:r>
        <w:rPr>
          <w:rFonts w:hint="eastAsia"/>
          <w:b/>
          <w:bCs/>
          <w:color w:val="000000"/>
          <w:lang w:val="en-US" w:eastAsia="zh-CN"/>
        </w:rPr>
        <w:t>4</w:t>
      </w:r>
      <w:r>
        <w:rPr>
          <w:b/>
          <w:bCs/>
          <w:color w:val="000000"/>
        </w:rPr>
        <w:t>无组织废气监测结果统计表</w:t>
      </w:r>
      <w:r>
        <w:rPr>
          <w:rFonts w:hint="eastAsia"/>
          <w:b/>
          <w:bCs/>
          <w:color w:val="000000"/>
        </w:rPr>
        <w:t>（未检出以方法检出限L表示）</w:t>
      </w:r>
    </w:p>
    <w:tbl>
      <w:tblPr>
        <w:tblStyle w:val="39"/>
        <w:tblW w:w="1339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134"/>
        <w:gridCol w:w="851"/>
        <w:gridCol w:w="1098"/>
        <w:gridCol w:w="1099"/>
        <w:gridCol w:w="1098"/>
        <w:gridCol w:w="1099"/>
        <w:gridCol w:w="71"/>
        <w:gridCol w:w="1027"/>
        <w:gridCol w:w="1099"/>
        <w:gridCol w:w="1098"/>
        <w:gridCol w:w="1099"/>
        <w:gridCol w:w="851"/>
        <w:gridCol w:w="95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817" w:type="dxa"/>
            <w:vMerge w:val="restart"/>
            <w:tcBorders>
              <w:tl2br w:val="nil"/>
              <w:tr2bl w:val="nil"/>
            </w:tcBorders>
            <w:vAlign w:val="center"/>
          </w:tcPr>
          <w:p>
            <w:pPr>
              <w:suppressAutoHyphens/>
              <w:adjustRightInd w:val="0"/>
              <w:snapToGrid w:val="0"/>
              <w:spacing w:line="240" w:lineRule="atLeast"/>
              <w:ind w:left="-1275" w:leftChars="-607" w:right="-395" w:rightChars="-188" w:firstLine="1130" w:firstLineChars="536"/>
              <w:rPr>
                <w:b/>
                <w:bCs/>
              </w:rPr>
            </w:pPr>
            <w:r>
              <w:rPr>
                <w:b/>
                <w:bCs/>
              </w:rPr>
              <w:t>监测点位</w:t>
            </w:r>
          </w:p>
        </w:tc>
        <w:tc>
          <w:tcPr>
            <w:tcW w:w="1134" w:type="dxa"/>
            <w:vMerge w:val="restart"/>
            <w:tcBorders>
              <w:tl2br w:val="nil"/>
              <w:tr2bl w:val="nil"/>
            </w:tcBorders>
            <w:vAlign w:val="center"/>
          </w:tcPr>
          <w:p>
            <w:pPr>
              <w:suppressAutoHyphens/>
              <w:adjustRightInd w:val="0"/>
              <w:snapToGrid w:val="0"/>
              <w:spacing w:line="192" w:lineRule="atLeast"/>
              <w:jc w:val="center"/>
              <w:rPr>
                <w:b/>
                <w:bCs/>
              </w:rPr>
            </w:pPr>
            <w:r>
              <w:rPr>
                <w:b/>
                <w:bCs/>
              </w:rPr>
              <w:t>监测项目</w:t>
            </w:r>
          </w:p>
        </w:tc>
        <w:tc>
          <w:tcPr>
            <w:tcW w:w="851" w:type="dxa"/>
            <w:vMerge w:val="restart"/>
            <w:tcBorders>
              <w:tl2br w:val="nil"/>
              <w:tr2bl w:val="nil"/>
            </w:tcBorders>
            <w:vAlign w:val="center"/>
          </w:tcPr>
          <w:p>
            <w:pPr>
              <w:suppressAutoHyphens/>
              <w:adjustRightInd w:val="0"/>
              <w:snapToGrid w:val="0"/>
              <w:spacing w:line="192" w:lineRule="atLeast"/>
              <w:jc w:val="center"/>
              <w:rPr>
                <w:b/>
                <w:bCs/>
              </w:rPr>
            </w:pPr>
            <w:r>
              <w:rPr>
                <w:b/>
                <w:bCs/>
              </w:rPr>
              <w:t>监测</w:t>
            </w:r>
          </w:p>
          <w:p>
            <w:pPr>
              <w:suppressAutoHyphens/>
              <w:adjustRightInd w:val="0"/>
              <w:snapToGrid w:val="0"/>
              <w:spacing w:line="192" w:lineRule="atLeast"/>
              <w:jc w:val="center"/>
              <w:rPr>
                <w:b/>
                <w:bCs/>
              </w:rPr>
            </w:pPr>
            <w:r>
              <w:rPr>
                <w:b/>
                <w:bCs/>
              </w:rPr>
              <w:t>点位</w:t>
            </w:r>
          </w:p>
        </w:tc>
        <w:tc>
          <w:tcPr>
            <w:tcW w:w="10592" w:type="dxa"/>
            <w:gridSpan w:val="11"/>
            <w:tcBorders>
              <w:tl2br w:val="nil"/>
              <w:tr2bl w:val="nil"/>
            </w:tcBorders>
            <w:vAlign w:val="center"/>
          </w:tcPr>
          <w:p>
            <w:pPr>
              <w:suppressAutoHyphens/>
              <w:adjustRightInd w:val="0"/>
              <w:snapToGrid w:val="0"/>
              <w:spacing w:line="192" w:lineRule="atLeast"/>
              <w:jc w:val="center"/>
              <w:rPr>
                <w:b/>
                <w:bCs/>
              </w:rPr>
            </w:pPr>
            <w:r>
              <w:rPr>
                <w:b/>
                <w:bCs/>
              </w:rPr>
              <w:t>监测结果（单位：mg/m</w:t>
            </w:r>
            <w:r>
              <w:rPr>
                <w:b/>
                <w:bCs/>
                <w:vertAlign w:val="superscript"/>
              </w:rPr>
              <w:t>3</w:t>
            </w:r>
            <w:r>
              <w:rPr>
                <w:b/>
                <w:bCs/>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817" w:type="dxa"/>
            <w:vMerge w:val="continue"/>
            <w:tcBorders>
              <w:tl2br w:val="nil"/>
              <w:tr2bl w:val="nil"/>
            </w:tcBorders>
            <w:vAlign w:val="center"/>
          </w:tcPr>
          <w:p>
            <w:pPr>
              <w:widowControl/>
              <w:jc w:val="left"/>
              <w:rPr>
                <w:b/>
                <w:bCs/>
              </w:rPr>
            </w:pPr>
          </w:p>
        </w:tc>
        <w:tc>
          <w:tcPr>
            <w:tcW w:w="1134" w:type="dxa"/>
            <w:vMerge w:val="continue"/>
            <w:tcBorders>
              <w:tl2br w:val="nil"/>
              <w:tr2bl w:val="nil"/>
            </w:tcBorders>
            <w:vAlign w:val="center"/>
          </w:tcPr>
          <w:p>
            <w:pPr>
              <w:widowControl/>
              <w:jc w:val="left"/>
              <w:rPr>
                <w:b/>
                <w:bCs/>
              </w:rPr>
            </w:pPr>
          </w:p>
        </w:tc>
        <w:tc>
          <w:tcPr>
            <w:tcW w:w="851" w:type="dxa"/>
            <w:vMerge w:val="continue"/>
            <w:tcBorders>
              <w:tl2br w:val="nil"/>
              <w:tr2bl w:val="nil"/>
            </w:tcBorders>
            <w:vAlign w:val="center"/>
          </w:tcPr>
          <w:p>
            <w:pPr>
              <w:widowControl/>
              <w:jc w:val="left"/>
              <w:rPr>
                <w:b/>
                <w:bCs/>
              </w:rPr>
            </w:pPr>
          </w:p>
        </w:tc>
        <w:tc>
          <w:tcPr>
            <w:tcW w:w="4465" w:type="dxa"/>
            <w:gridSpan w:val="5"/>
            <w:tcBorders>
              <w:tl2br w:val="nil"/>
              <w:tr2bl w:val="nil"/>
            </w:tcBorders>
            <w:vAlign w:val="center"/>
          </w:tcPr>
          <w:p>
            <w:pPr>
              <w:widowControl/>
              <w:jc w:val="center"/>
              <w:rPr>
                <w:b/>
                <w:bCs/>
              </w:rPr>
            </w:pPr>
            <w:r>
              <w:rPr>
                <w:b/>
                <w:bCs/>
              </w:rPr>
              <w:t>202</w:t>
            </w:r>
            <w:r>
              <w:rPr>
                <w:rFonts w:hint="eastAsia"/>
                <w:b/>
                <w:bCs/>
              </w:rPr>
              <w:t>4.6.13</w:t>
            </w:r>
          </w:p>
        </w:tc>
        <w:tc>
          <w:tcPr>
            <w:tcW w:w="4323" w:type="dxa"/>
            <w:gridSpan w:val="4"/>
            <w:tcBorders>
              <w:tl2br w:val="nil"/>
              <w:tr2bl w:val="nil"/>
            </w:tcBorders>
            <w:vAlign w:val="center"/>
          </w:tcPr>
          <w:p>
            <w:pPr>
              <w:widowControl/>
              <w:jc w:val="center"/>
              <w:rPr>
                <w:b/>
                <w:bCs/>
              </w:rPr>
            </w:pPr>
            <w:r>
              <w:rPr>
                <w:b/>
                <w:bCs/>
              </w:rPr>
              <w:t>202</w:t>
            </w:r>
            <w:r>
              <w:rPr>
                <w:rFonts w:hint="eastAsia"/>
                <w:b/>
                <w:bCs/>
              </w:rPr>
              <w:t>4.6.15</w:t>
            </w:r>
          </w:p>
        </w:tc>
        <w:tc>
          <w:tcPr>
            <w:tcW w:w="851" w:type="dxa"/>
            <w:vMerge w:val="restart"/>
            <w:tcBorders>
              <w:tl2br w:val="nil"/>
              <w:tr2bl w:val="nil"/>
            </w:tcBorders>
            <w:vAlign w:val="center"/>
          </w:tcPr>
          <w:p>
            <w:pPr>
              <w:jc w:val="center"/>
              <w:rPr>
                <w:b/>
                <w:bCs/>
              </w:rPr>
            </w:pPr>
            <w:r>
              <w:rPr>
                <w:b/>
                <w:bCs/>
              </w:rPr>
              <w:t>最高值</w:t>
            </w:r>
          </w:p>
        </w:tc>
        <w:tc>
          <w:tcPr>
            <w:tcW w:w="953" w:type="dxa"/>
            <w:vMerge w:val="restart"/>
            <w:tcBorders>
              <w:tl2br w:val="nil"/>
              <w:tr2bl w:val="nil"/>
            </w:tcBorders>
            <w:vAlign w:val="center"/>
          </w:tcPr>
          <w:p>
            <w:pPr>
              <w:jc w:val="center"/>
              <w:rPr>
                <w:b/>
                <w:bCs/>
              </w:rPr>
            </w:pPr>
            <w:r>
              <w:rPr>
                <w:b/>
                <w:bCs/>
              </w:rPr>
              <w:t>执行标准</w:t>
            </w:r>
            <w:r>
              <w:rPr>
                <w:rFonts w:hint="eastAsia"/>
                <w:b/>
                <w:bCs/>
              </w:rPr>
              <w:t>见</w:t>
            </w:r>
            <w:r>
              <w:rPr>
                <w:b/>
                <w:bCs/>
              </w:rPr>
              <w:t>6.1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817" w:type="dxa"/>
            <w:vMerge w:val="continue"/>
            <w:tcBorders>
              <w:tl2br w:val="nil"/>
              <w:tr2bl w:val="nil"/>
            </w:tcBorders>
            <w:vAlign w:val="center"/>
          </w:tcPr>
          <w:p>
            <w:pPr>
              <w:widowControl/>
              <w:jc w:val="left"/>
              <w:rPr>
                <w:b/>
                <w:bCs/>
              </w:rPr>
            </w:pPr>
          </w:p>
        </w:tc>
        <w:tc>
          <w:tcPr>
            <w:tcW w:w="1134" w:type="dxa"/>
            <w:vMerge w:val="continue"/>
            <w:tcBorders>
              <w:tl2br w:val="nil"/>
              <w:tr2bl w:val="nil"/>
            </w:tcBorders>
            <w:vAlign w:val="center"/>
          </w:tcPr>
          <w:p>
            <w:pPr>
              <w:widowControl/>
              <w:jc w:val="left"/>
              <w:rPr>
                <w:b/>
                <w:bCs/>
              </w:rPr>
            </w:pPr>
          </w:p>
        </w:tc>
        <w:tc>
          <w:tcPr>
            <w:tcW w:w="851" w:type="dxa"/>
            <w:vMerge w:val="continue"/>
            <w:tcBorders>
              <w:tl2br w:val="nil"/>
              <w:tr2bl w:val="nil"/>
            </w:tcBorders>
            <w:vAlign w:val="center"/>
          </w:tcPr>
          <w:p>
            <w:pPr>
              <w:widowControl/>
              <w:jc w:val="left"/>
              <w:rPr>
                <w:b/>
                <w:bCs/>
              </w:rPr>
            </w:pPr>
          </w:p>
        </w:tc>
        <w:tc>
          <w:tcPr>
            <w:tcW w:w="8788" w:type="dxa"/>
            <w:gridSpan w:val="9"/>
            <w:tcBorders>
              <w:tl2br w:val="nil"/>
              <w:tr2bl w:val="nil"/>
            </w:tcBorders>
            <w:vAlign w:val="center"/>
          </w:tcPr>
          <w:p>
            <w:pPr>
              <w:suppressAutoHyphens/>
              <w:adjustRightInd w:val="0"/>
              <w:snapToGrid w:val="0"/>
              <w:spacing w:line="192" w:lineRule="atLeast"/>
              <w:jc w:val="center"/>
              <w:rPr>
                <w:b/>
                <w:bCs/>
              </w:rPr>
            </w:pPr>
            <w:r>
              <w:rPr>
                <w:b/>
                <w:bCs/>
              </w:rPr>
              <w:t>监测时段</w:t>
            </w:r>
          </w:p>
        </w:tc>
        <w:tc>
          <w:tcPr>
            <w:tcW w:w="851" w:type="dxa"/>
            <w:vMerge w:val="continue"/>
            <w:tcBorders>
              <w:tl2br w:val="nil"/>
              <w:tr2bl w:val="nil"/>
            </w:tcBorders>
            <w:vAlign w:val="center"/>
          </w:tcPr>
          <w:p>
            <w:pPr>
              <w:jc w:val="center"/>
              <w:rPr>
                <w:b/>
                <w:bCs/>
              </w:rPr>
            </w:pPr>
          </w:p>
        </w:tc>
        <w:tc>
          <w:tcPr>
            <w:tcW w:w="953" w:type="dxa"/>
            <w:vMerge w:val="continue"/>
            <w:tcBorders>
              <w:tl2br w:val="nil"/>
              <w:tr2bl w:val="nil"/>
            </w:tcBorders>
            <w:vAlign w:val="center"/>
          </w:tcPr>
          <w:p>
            <w:pPr>
              <w:jc w:val="center"/>
              <w:rPr>
                <w:b/>
                <w:bC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817" w:type="dxa"/>
            <w:vMerge w:val="continue"/>
            <w:tcBorders>
              <w:tl2br w:val="nil"/>
              <w:tr2bl w:val="nil"/>
            </w:tcBorders>
            <w:vAlign w:val="center"/>
          </w:tcPr>
          <w:p>
            <w:pPr>
              <w:widowControl/>
              <w:jc w:val="left"/>
              <w:rPr>
                <w:b/>
                <w:bCs/>
              </w:rPr>
            </w:pPr>
          </w:p>
        </w:tc>
        <w:tc>
          <w:tcPr>
            <w:tcW w:w="1134" w:type="dxa"/>
            <w:vMerge w:val="continue"/>
            <w:tcBorders>
              <w:tl2br w:val="nil"/>
              <w:tr2bl w:val="nil"/>
            </w:tcBorders>
            <w:vAlign w:val="center"/>
          </w:tcPr>
          <w:p>
            <w:pPr>
              <w:widowControl/>
              <w:jc w:val="left"/>
              <w:rPr>
                <w:b/>
                <w:bCs/>
              </w:rPr>
            </w:pPr>
          </w:p>
        </w:tc>
        <w:tc>
          <w:tcPr>
            <w:tcW w:w="851" w:type="dxa"/>
            <w:vMerge w:val="continue"/>
            <w:tcBorders>
              <w:tl2br w:val="nil"/>
              <w:tr2bl w:val="nil"/>
            </w:tcBorders>
            <w:vAlign w:val="center"/>
          </w:tcPr>
          <w:p>
            <w:pPr>
              <w:widowControl/>
              <w:jc w:val="left"/>
              <w:rPr>
                <w:b/>
                <w:bCs/>
              </w:rPr>
            </w:pPr>
          </w:p>
        </w:tc>
        <w:tc>
          <w:tcPr>
            <w:tcW w:w="1098" w:type="dxa"/>
            <w:tcBorders>
              <w:tl2br w:val="nil"/>
              <w:tr2bl w:val="nil"/>
            </w:tcBorders>
            <w:vAlign w:val="center"/>
          </w:tcPr>
          <w:p>
            <w:pPr>
              <w:adjustRightInd w:val="0"/>
              <w:snapToGrid w:val="0"/>
              <w:jc w:val="center"/>
              <w:rPr>
                <w:b/>
                <w:bCs/>
              </w:rPr>
            </w:pPr>
            <w:r>
              <w:t>第1次</w:t>
            </w:r>
          </w:p>
        </w:tc>
        <w:tc>
          <w:tcPr>
            <w:tcW w:w="1099" w:type="dxa"/>
            <w:tcBorders>
              <w:tl2br w:val="nil"/>
              <w:tr2bl w:val="nil"/>
            </w:tcBorders>
            <w:vAlign w:val="center"/>
          </w:tcPr>
          <w:p>
            <w:pPr>
              <w:adjustRightInd w:val="0"/>
              <w:snapToGrid w:val="0"/>
              <w:jc w:val="center"/>
              <w:rPr>
                <w:b/>
                <w:bCs/>
              </w:rPr>
            </w:pPr>
            <w:r>
              <w:t>第2次</w:t>
            </w:r>
          </w:p>
        </w:tc>
        <w:tc>
          <w:tcPr>
            <w:tcW w:w="1098" w:type="dxa"/>
            <w:tcBorders>
              <w:tl2br w:val="nil"/>
              <w:tr2bl w:val="nil"/>
            </w:tcBorders>
            <w:vAlign w:val="center"/>
          </w:tcPr>
          <w:p>
            <w:pPr>
              <w:adjustRightInd w:val="0"/>
              <w:snapToGrid w:val="0"/>
              <w:jc w:val="center"/>
              <w:rPr>
                <w:b/>
                <w:bCs/>
              </w:rPr>
            </w:pPr>
            <w:r>
              <w:t>第3次</w:t>
            </w:r>
          </w:p>
        </w:tc>
        <w:tc>
          <w:tcPr>
            <w:tcW w:w="1099" w:type="dxa"/>
            <w:tcBorders>
              <w:tl2br w:val="nil"/>
              <w:tr2bl w:val="nil"/>
            </w:tcBorders>
            <w:vAlign w:val="center"/>
          </w:tcPr>
          <w:p>
            <w:pPr>
              <w:adjustRightInd w:val="0"/>
              <w:snapToGrid w:val="0"/>
              <w:jc w:val="center"/>
              <w:rPr>
                <w:b/>
                <w:bCs/>
              </w:rPr>
            </w:pPr>
            <w:r>
              <w:t>第4次</w:t>
            </w:r>
          </w:p>
        </w:tc>
        <w:tc>
          <w:tcPr>
            <w:tcW w:w="1098" w:type="dxa"/>
            <w:gridSpan w:val="2"/>
            <w:tcBorders>
              <w:tl2br w:val="nil"/>
              <w:tr2bl w:val="nil"/>
            </w:tcBorders>
            <w:vAlign w:val="center"/>
          </w:tcPr>
          <w:p>
            <w:pPr>
              <w:adjustRightInd w:val="0"/>
              <w:snapToGrid w:val="0"/>
              <w:jc w:val="center"/>
              <w:rPr>
                <w:b/>
                <w:bCs/>
              </w:rPr>
            </w:pPr>
            <w:r>
              <w:t>第1次</w:t>
            </w:r>
          </w:p>
        </w:tc>
        <w:tc>
          <w:tcPr>
            <w:tcW w:w="1099" w:type="dxa"/>
            <w:tcBorders>
              <w:tl2br w:val="nil"/>
              <w:tr2bl w:val="nil"/>
            </w:tcBorders>
            <w:vAlign w:val="center"/>
          </w:tcPr>
          <w:p>
            <w:pPr>
              <w:adjustRightInd w:val="0"/>
              <w:snapToGrid w:val="0"/>
              <w:jc w:val="center"/>
              <w:rPr>
                <w:b/>
                <w:bCs/>
              </w:rPr>
            </w:pPr>
            <w:r>
              <w:t>第2次</w:t>
            </w:r>
          </w:p>
        </w:tc>
        <w:tc>
          <w:tcPr>
            <w:tcW w:w="1098" w:type="dxa"/>
            <w:tcBorders>
              <w:tl2br w:val="nil"/>
              <w:tr2bl w:val="nil"/>
            </w:tcBorders>
            <w:vAlign w:val="center"/>
          </w:tcPr>
          <w:p>
            <w:pPr>
              <w:adjustRightInd w:val="0"/>
              <w:snapToGrid w:val="0"/>
              <w:jc w:val="center"/>
              <w:rPr>
                <w:b/>
                <w:bCs/>
              </w:rPr>
            </w:pPr>
            <w:r>
              <w:t>第3次</w:t>
            </w:r>
          </w:p>
        </w:tc>
        <w:tc>
          <w:tcPr>
            <w:tcW w:w="1099" w:type="dxa"/>
            <w:tcBorders>
              <w:tl2br w:val="nil"/>
              <w:tr2bl w:val="nil"/>
            </w:tcBorders>
            <w:vAlign w:val="center"/>
          </w:tcPr>
          <w:p>
            <w:pPr>
              <w:adjustRightInd w:val="0"/>
              <w:snapToGrid w:val="0"/>
              <w:jc w:val="center"/>
              <w:rPr>
                <w:b/>
                <w:bCs/>
              </w:rPr>
            </w:pPr>
            <w:r>
              <w:t>第4次</w:t>
            </w:r>
          </w:p>
        </w:tc>
        <w:tc>
          <w:tcPr>
            <w:tcW w:w="851" w:type="dxa"/>
            <w:vMerge w:val="continue"/>
            <w:tcBorders>
              <w:tl2br w:val="nil"/>
              <w:tr2bl w:val="nil"/>
            </w:tcBorders>
            <w:vAlign w:val="center"/>
          </w:tcPr>
          <w:p>
            <w:pPr>
              <w:widowControl/>
              <w:jc w:val="center"/>
              <w:rPr>
                <w:b/>
                <w:bCs/>
              </w:rPr>
            </w:pPr>
          </w:p>
        </w:tc>
        <w:tc>
          <w:tcPr>
            <w:tcW w:w="953" w:type="dxa"/>
            <w:vMerge w:val="continue"/>
            <w:tcBorders>
              <w:tl2br w:val="nil"/>
              <w:tr2bl w:val="nil"/>
            </w:tcBorders>
            <w:vAlign w:val="center"/>
          </w:tcPr>
          <w:p>
            <w:pPr>
              <w:widowControl/>
              <w:jc w:val="center"/>
              <w:rPr>
                <w:b/>
                <w:bC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7" w:type="dxa"/>
            <w:vMerge w:val="restart"/>
            <w:tcBorders>
              <w:tl2br w:val="nil"/>
              <w:tr2bl w:val="nil"/>
            </w:tcBorders>
            <w:vAlign w:val="center"/>
          </w:tcPr>
          <w:p>
            <w:pPr>
              <w:suppressAutoHyphens/>
              <w:adjustRightInd w:val="0"/>
              <w:snapToGrid w:val="0"/>
              <w:spacing w:line="240" w:lineRule="atLeast"/>
              <w:jc w:val="center"/>
            </w:pPr>
            <w:r>
              <w:t>项</w:t>
            </w:r>
          </w:p>
          <w:p>
            <w:pPr>
              <w:suppressAutoHyphens/>
              <w:adjustRightInd w:val="0"/>
              <w:snapToGrid w:val="0"/>
              <w:spacing w:line="240" w:lineRule="atLeast"/>
              <w:jc w:val="center"/>
            </w:pPr>
            <w:r>
              <w:t>目</w:t>
            </w:r>
          </w:p>
          <w:p>
            <w:pPr>
              <w:suppressAutoHyphens/>
              <w:adjustRightInd w:val="0"/>
              <w:snapToGrid w:val="0"/>
              <w:spacing w:line="240" w:lineRule="atLeast"/>
              <w:jc w:val="center"/>
            </w:pPr>
            <w:r>
              <w:t>厂</w:t>
            </w:r>
          </w:p>
          <w:p>
            <w:pPr>
              <w:suppressAutoHyphens/>
              <w:adjustRightInd w:val="0"/>
              <w:snapToGrid w:val="0"/>
              <w:spacing w:line="240" w:lineRule="atLeast"/>
              <w:jc w:val="center"/>
            </w:pPr>
            <w:r>
              <w:t>界</w:t>
            </w:r>
          </w:p>
          <w:p>
            <w:pPr>
              <w:suppressAutoHyphens/>
              <w:adjustRightInd w:val="0"/>
              <w:snapToGrid w:val="0"/>
              <w:spacing w:line="240" w:lineRule="atLeast"/>
              <w:jc w:val="center"/>
            </w:pPr>
            <w:r>
              <w:t>边</w:t>
            </w:r>
          </w:p>
          <w:p>
            <w:pPr>
              <w:suppressAutoHyphens/>
              <w:adjustRightInd w:val="0"/>
              <w:snapToGrid w:val="0"/>
              <w:spacing w:line="240" w:lineRule="atLeast"/>
              <w:jc w:val="center"/>
            </w:pPr>
            <w:r>
              <w:t>10</w:t>
            </w:r>
          </w:p>
          <w:p>
            <w:pPr>
              <w:suppressAutoHyphens/>
              <w:adjustRightInd w:val="0"/>
              <w:snapToGrid w:val="0"/>
              <w:spacing w:line="240" w:lineRule="atLeast"/>
              <w:jc w:val="center"/>
            </w:pPr>
            <w:r>
              <w:t>米</w:t>
            </w:r>
          </w:p>
          <w:p>
            <w:pPr>
              <w:suppressAutoHyphens/>
              <w:adjustRightInd w:val="0"/>
              <w:snapToGrid w:val="0"/>
              <w:spacing w:line="240" w:lineRule="atLeast"/>
              <w:jc w:val="center"/>
            </w:pPr>
            <w:r>
              <w:t>内</w:t>
            </w:r>
          </w:p>
          <w:p>
            <w:pPr>
              <w:suppressAutoHyphens/>
              <w:adjustRightInd w:val="0"/>
              <w:snapToGrid w:val="0"/>
              <w:spacing w:line="240" w:lineRule="atLeast"/>
              <w:jc w:val="center"/>
            </w:pPr>
          </w:p>
        </w:tc>
        <w:tc>
          <w:tcPr>
            <w:tcW w:w="1134" w:type="dxa"/>
            <w:vMerge w:val="restart"/>
            <w:tcBorders>
              <w:tl2br w:val="nil"/>
              <w:tr2bl w:val="nil"/>
            </w:tcBorders>
            <w:vAlign w:val="center"/>
          </w:tcPr>
          <w:p>
            <w:pPr>
              <w:jc w:val="center"/>
            </w:pPr>
            <w:r>
              <w:rPr>
                <w:rFonts w:hint="eastAsia"/>
              </w:rPr>
              <w:t>氯气</w:t>
            </w:r>
          </w:p>
        </w:tc>
        <w:tc>
          <w:tcPr>
            <w:tcW w:w="851" w:type="dxa"/>
            <w:tcBorders>
              <w:tl2br w:val="nil"/>
              <w:tr2bl w:val="nil"/>
            </w:tcBorders>
            <w:vAlign w:val="center"/>
          </w:tcPr>
          <w:p>
            <w:pPr>
              <w:jc w:val="center"/>
            </w:pPr>
            <w:r>
              <w:rPr>
                <w:b/>
                <w:bCs/>
              </w:rPr>
              <w:t>1#</w:t>
            </w:r>
          </w:p>
        </w:tc>
        <w:tc>
          <w:tcPr>
            <w:tcW w:w="1098" w:type="dxa"/>
            <w:tcBorders>
              <w:tl2br w:val="nil"/>
              <w:tr2bl w:val="nil"/>
            </w:tcBorders>
            <w:vAlign w:val="center"/>
          </w:tcPr>
          <w:p>
            <w:pPr>
              <w:jc w:val="center"/>
            </w:pPr>
            <w:r>
              <w:rPr>
                <w:rFonts w:hint="eastAsia"/>
              </w:rPr>
              <w:t>0.04</w:t>
            </w:r>
          </w:p>
        </w:tc>
        <w:tc>
          <w:tcPr>
            <w:tcW w:w="1099" w:type="dxa"/>
            <w:tcBorders>
              <w:tl2br w:val="nil"/>
              <w:tr2bl w:val="nil"/>
            </w:tcBorders>
            <w:vAlign w:val="center"/>
          </w:tcPr>
          <w:p>
            <w:pPr>
              <w:jc w:val="center"/>
            </w:pPr>
            <w:r>
              <w:rPr>
                <w:rFonts w:hint="eastAsia"/>
              </w:rPr>
              <w:t>0.04</w:t>
            </w:r>
          </w:p>
        </w:tc>
        <w:tc>
          <w:tcPr>
            <w:tcW w:w="1098" w:type="dxa"/>
            <w:tcBorders>
              <w:tl2br w:val="nil"/>
              <w:tr2bl w:val="nil"/>
            </w:tcBorders>
            <w:vAlign w:val="center"/>
          </w:tcPr>
          <w:p>
            <w:pPr>
              <w:jc w:val="center"/>
            </w:pPr>
            <w:r>
              <w:rPr>
                <w:rFonts w:hint="eastAsia"/>
              </w:rPr>
              <w:t>0.05</w:t>
            </w:r>
          </w:p>
        </w:tc>
        <w:tc>
          <w:tcPr>
            <w:tcW w:w="1099" w:type="dxa"/>
            <w:tcBorders>
              <w:tl2br w:val="nil"/>
              <w:tr2bl w:val="nil"/>
            </w:tcBorders>
            <w:vAlign w:val="center"/>
          </w:tcPr>
          <w:p>
            <w:pPr>
              <w:suppressAutoHyphens/>
              <w:adjustRightInd w:val="0"/>
              <w:snapToGrid w:val="0"/>
              <w:spacing w:line="240" w:lineRule="atLeast"/>
              <w:jc w:val="center"/>
            </w:pPr>
            <w:r>
              <w:rPr>
                <w:rFonts w:hint="eastAsia"/>
              </w:rPr>
              <w:t>0.04</w:t>
            </w:r>
          </w:p>
        </w:tc>
        <w:tc>
          <w:tcPr>
            <w:tcW w:w="1098" w:type="dxa"/>
            <w:gridSpan w:val="2"/>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0.04</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0.05</w:t>
            </w:r>
          </w:p>
        </w:tc>
        <w:tc>
          <w:tcPr>
            <w:tcW w:w="1098"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0.05</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0.04</w:t>
            </w:r>
          </w:p>
        </w:tc>
        <w:tc>
          <w:tcPr>
            <w:tcW w:w="851" w:type="dxa"/>
            <w:vMerge w:val="restart"/>
            <w:tcBorders>
              <w:tl2br w:val="nil"/>
              <w:tr2bl w:val="nil"/>
            </w:tcBorders>
            <w:vAlign w:val="center"/>
          </w:tcPr>
          <w:p>
            <w:pPr>
              <w:suppressAutoHyphens/>
              <w:adjustRightInd w:val="0"/>
              <w:snapToGrid w:val="0"/>
              <w:spacing w:line="240" w:lineRule="atLeast"/>
              <w:jc w:val="center"/>
            </w:pPr>
            <w:r>
              <w:rPr>
                <w:rFonts w:hint="eastAsia"/>
              </w:rPr>
              <w:t>0.09</w:t>
            </w:r>
          </w:p>
        </w:tc>
        <w:tc>
          <w:tcPr>
            <w:tcW w:w="953" w:type="dxa"/>
            <w:vMerge w:val="restart"/>
            <w:tcBorders>
              <w:tl2br w:val="nil"/>
              <w:tr2bl w:val="nil"/>
            </w:tcBorders>
            <w:vAlign w:val="center"/>
          </w:tcPr>
          <w:p>
            <w:pPr>
              <w:suppressAutoHyphens/>
              <w:adjustRightInd w:val="0"/>
              <w:snapToGrid w:val="0"/>
              <w:spacing w:line="240" w:lineRule="atLeast"/>
              <w:jc w:val="center"/>
            </w:pPr>
            <w:r>
              <w:rPr>
                <w:rFonts w:hint="eastAsia"/>
              </w:rPr>
              <w:t>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7" w:type="dxa"/>
            <w:vMerge w:val="continue"/>
            <w:tcBorders>
              <w:tl2br w:val="nil"/>
              <w:tr2bl w:val="nil"/>
            </w:tcBorders>
            <w:vAlign w:val="center"/>
          </w:tcPr>
          <w:p>
            <w:pPr>
              <w:suppressAutoHyphens/>
              <w:adjustRightInd w:val="0"/>
              <w:snapToGrid w:val="0"/>
              <w:spacing w:line="240" w:lineRule="atLeast"/>
              <w:jc w:val="center"/>
              <w:rPr>
                <w:color w:val="FF0000"/>
              </w:rPr>
            </w:pPr>
          </w:p>
        </w:tc>
        <w:tc>
          <w:tcPr>
            <w:tcW w:w="1134" w:type="dxa"/>
            <w:vMerge w:val="continue"/>
            <w:tcBorders>
              <w:tl2br w:val="nil"/>
              <w:tr2bl w:val="nil"/>
            </w:tcBorders>
            <w:vAlign w:val="center"/>
          </w:tcPr>
          <w:p>
            <w:pPr>
              <w:widowControl/>
              <w:jc w:val="center"/>
            </w:pPr>
          </w:p>
        </w:tc>
        <w:tc>
          <w:tcPr>
            <w:tcW w:w="851" w:type="dxa"/>
            <w:tcBorders>
              <w:tl2br w:val="nil"/>
              <w:tr2bl w:val="nil"/>
            </w:tcBorders>
            <w:vAlign w:val="center"/>
          </w:tcPr>
          <w:p>
            <w:pPr>
              <w:jc w:val="center"/>
            </w:pPr>
            <w:r>
              <w:rPr>
                <w:b/>
                <w:bCs/>
              </w:rPr>
              <w:t>2#</w:t>
            </w:r>
          </w:p>
        </w:tc>
        <w:tc>
          <w:tcPr>
            <w:tcW w:w="1098" w:type="dxa"/>
            <w:tcBorders>
              <w:tl2br w:val="nil"/>
              <w:tr2bl w:val="nil"/>
            </w:tcBorders>
            <w:vAlign w:val="center"/>
          </w:tcPr>
          <w:p>
            <w:pPr>
              <w:pStyle w:val="138"/>
              <w:jc w:val="center"/>
            </w:pPr>
            <w:r>
              <w:rPr>
                <w:rFonts w:ascii="Times New Roman"/>
                <w:szCs w:val="24"/>
              </w:rPr>
              <w:t>0.05</w:t>
            </w:r>
          </w:p>
        </w:tc>
        <w:tc>
          <w:tcPr>
            <w:tcW w:w="1099" w:type="dxa"/>
            <w:tcBorders>
              <w:tl2br w:val="nil"/>
              <w:tr2bl w:val="nil"/>
            </w:tcBorders>
            <w:vAlign w:val="center"/>
          </w:tcPr>
          <w:p>
            <w:pPr>
              <w:pStyle w:val="138"/>
              <w:jc w:val="center"/>
            </w:pPr>
            <w:r>
              <w:rPr>
                <w:rFonts w:ascii="Times New Roman"/>
                <w:szCs w:val="24"/>
              </w:rPr>
              <w:t>0.06</w:t>
            </w:r>
          </w:p>
        </w:tc>
        <w:tc>
          <w:tcPr>
            <w:tcW w:w="1098" w:type="dxa"/>
            <w:tcBorders>
              <w:tl2br w:val="nil"/>
              <w:tr2bl w:val="nil"/>
            </w:tcBorders>
            <w:vAlign w:val="center"/>
          </w:tcPr>
          <w:p>
            <w:pPr>
              <w:pStyle w:val="138"/>
              <w:jc w:val="center"/>
            </w:pPr>
            <w:r>
              <w:rPr>
                <w:rFonts w:ascii="Times New Roman"/>
                <w:szCs w:val="24"/>
              </w:rPr>
              <w:t>0.06</w:t>
            </w:r>
          </w:p>
        </w:tc>
        <w:tc>
          <w:tcPr>
            <w:tcW w:w="1099" w:type="dxa"/>
            <w:tcBorders>
              <w:tl2br w:val="nil"/>
              <w:tr2bl w:val="nil"/>
            </w:tcBorders>
            <w:vAlign w:val="center"/>
          </w:tcPr>
          <w:p>
            <w:pPr>
              <w:pStyle w:val="138"/>
              <w:jc w:val="center"/>
            </w:pPr>
            <w:r>
              <w:rPr>
                <w:rFonts w:ascii="Times New Roman"/>
                <w:szCs w:val="24"/>
              </w:rPr>
              <w:t>0.05</w:t>
            </w:r>
          </w:p>
        </w:tc>
        <w:tc>
          <w:tcPr>
            <w:tcW w:w="1098" w:type="dxa"/>
            <w:gridSpan w:val="2"/>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0.06</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0.07</w:t>
            </w:r>
          </w:p>
        </w:tc>
        <w:tc>
          <w:tcPr>
            <w:tcW w:w="1098"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0.07</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0.07</w:t>
            </w:r>
          </w:p>
        </w:tc>
        <w:tc>
          <w:tcPr>
            <w:tcW w:w="851" w:type="dxa"/>
            <w:vMerge w:val="continue"/>
            <w:tcBorders>
              <w:tl2br w:val="nil"/>
              <w:tr2bl w:val="nil"/>
            </w:tcBorders>
            <w:vAlign w:val="center"/>
          </w:tcPr>
          <w:p>
            <w:pPr>
              <w:suppressAutoHyphens/>
              <w:adjustRightInd w:val="0"/>
              <w:snapToGrid w:val="0"/>
              <w:spacing w:line="240" w:lineRule="atLeast"/>
              <w:jc w:val="center"/>
            </w:pPr>
          </w:p>
        </w:tc>
        <w:tc>
          <w:tcPr>
            <w:tcW w:w="953" w:type="dxa"/>
            <w:vMerge w:val="continue"/>
            <w:tcBorders>
              <w:tl2br w:val="nil"/>
              <w:tr2bl w:val="nil"/>
            </w:tcBorders>
            <w:vAlign w:val="center"/>
          </w:tcPr>
          <w:p>
            <w:pPr>
              <w:widowControl/>
              <w:jc w:val="cente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7" w:type="dxa"/>
            <w:vMerge w:val="continue"/>
            <w:tcBorders>
              <w:tl2br w:val="nil"/>
              <w:tr2bl w:val="nil"/>
            </w:tcBorders>
            <w:vAlign w:val="center"/>
          </w:tcPr>
          <w:p>
            <w:pPr>
              <w:suppressAutoHyphens/>
              <w:adjustRightInd w:val="0"/>
              <w:snapToGrid w:val="0"/>
              <w:spacing w:line="240" w:lineRule="atLeast"/>
              <w:jc w:val="center"/>
              <w:rPr>
                <w:color w:val="FF0000"/>
              </w:rPr>
            </w:pPr>
          </w:p>
        </w:tc>
        <w:tc>
          <w:tcPr>
            <w:tcW w:w="1134" w:type="dxa"/>
            <w:vMerge w:val="continue"/>
            <w:tcBorders>
              <w:tl2br w:val="nil"/>
              <w:tr2bl w:val="nil"/>
            </w:tcBorders>
            <w:vAlign w:val="center"/>
          </w:tcPr>
          <w:p>
            <w:pPr>
              <w:widowControl/>
              <w:jc w:val="center"/>
            </w:pPr>
          </w:p>
        </w:tc>
        <w:tc>
          <w:tcPr>
            <w:tcW w:w="851" w:type="dxa"/>
            <w:tcBorders>
              <w:tl2br w:val="nil"/>
              <w:tr2bl w:val="nil"/>
            </w:tcBorders>
            <w:vAlign w:val="center"/>
          </w:tcPr>
          <w:p>
            <w:pPr>
              <w:jc w:val="center"/>
            </w:pPr>
            <w:r>
              <w:rPr>
                <w:b/>
                <w:bCs/>
              </w:rPr>
              <w:t>3#</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0.07</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0.08</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0.06</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0.07</w:t>
            </w:r>
          </w:p>
        </w:tc>
        <w:tc>
          <w:tcPr>
            <w:tcW w:w="1098" w:type="dxa"/>
            <w:gridSpan w:val="2"/>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0.08</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0.07</w:t>
            </w:r>
          </w:p>
        </w:tc>
        <w:tc>
          <w:tcPr>
            <w:tcW w:w="1098"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0.07</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0.08</w:t>
            </w:r>
          </w:p>
        </w:tc>
        <w:tc>
          <w:tcPr>
            <w:tcW w:w="851" w:type="dxa"/>
            <w:vMerge w:val="continue"/>
            <w:tcBorders>
              <w:tl2br w:val="nil"/>
              <w:tr2bl w:val="nil"/>
            </w:tcBorders>
            <w:vAlign w:val="center"/>
          </w:tcPr>
          <w:p>
            <w:pPr>
              <w:suppressAutoHyphens/>
              <w:adjustRightInd w:val="0"/>
              <w:snapToGrid w:val="0"/>
              <w:spacing w:line="240" w:lineRule="atLeast"/>
              <w:jc w:val="center"/>
            </w:pPr>
          </w:p>
        </w:tc>
        <w:tc>
          <w:tcPr>
            <w:tcW w:w="953" w:type="dxa"/>
            <w:vMerge w:val="continue"/>
            <w:tcBorders>
              <w:tl2br w:val="nil"/>
              <w:tr2bl w:val="nil"/>
            </w:tcBorders>
            <w:vAlign w:val="center"/>
          </w:tcPr>
          <w:p>
            <w:pPr>
              <w:widowControl/>
              <w:jc w:val="cente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7" w:type="dxa"/>
            <w:vMerge w:val="continue"/>
            <w:tcBorders>
              <w:tl2br w:val="nil"/>
              <w:tr2bl w:val="nil"/>
            </w:tcBorders>
            <w:vAlign w:val="center"/>
          </w:tcPr>
          <w:p>
            <w:pPr>
              <w:suppressAutoHyphens/>
              <w:adjustRightInd w:val="0"/>
              <w:snapToGrid w:val="0"/>
              <w:spacing w:line="240" w:lineRule="atLeast"/>
              <w:jc w:val="center"/>
              <w:rPr>
                <w:color w:val="FF0000"/>
              </w:rPr>
            </w:pPr>
          </w:p>
        </w:tc>
        <w:tc>
          <w:tcPr>
            <w:tcW w:w="1134" w:type="dxa"/>
            <w:vMerge w:val="continue"/>
            <w:tcBorders>
              <w:tl2br w:val="nil"/>
              <w:tr2bl w:val="nil"/>
            </w:tcBorders>
            <w:vAlign w:val="center"/>
          </w:tcPr>
          <w:p>
            <w:pPr>
              <w:widowControl/>
              <w:jc w:val="center"/>
            </w:pPr>
          </w:p>
        </w:tc>
        <w:tc>
          <w:tcPr>
            <w:tcW w:w="851" w:type="dxa"/>
            <w:tcBorders>
              <w:tl2br w:val="nil"/>
              <w:tr2bl w:val="nil"/>
            </w:tcBorders>
            <w:vAlign w:val="center"/>
          </w:tcPr>
          <w:p>
            <w:pPr>
              <w:jc w:val="center"/>
            </w:pPr>
            <w:r>
              <w:rPr>
                <w:b/>
                <w:bCs/>
              </w:rPr>
              <w:t>4#</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0.08</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0.08</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0.09</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0.07</w:t>
            </w:r>
          </w:p>
        </w:tc>
        <w:tc>
          <w:tcPr>
            <w:tcW w:w="1098" w:type="dxa"/>
            <w:gridSpan w:val="2"/>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0.09</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0.09</w:t>
            </w:r>
          </w:p>
        </w:tc>
        <w:tc>
          <w:tcPr>
            <w:tcW w:w="1098"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0.08</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0.07</w:t>
            </w:r>
          </w:p>
        </w:tc>
        <w:tc>
          <w:tcPr>
            <w:tcW w:w="851" w:type="dxa"/>
            <w:vMerge w:val="continue"/>
            <w:tcBorders>
              <w:tl2br w:val="nil"/>
              <w:tr2bl w:val="nil"/>
            </w:tcBorders>
            <w:vAlign w:val="center"/>
          </w:tcPr>
          <w:p>
            <w:pPr>
              <w:suppressAutoHyphens/>
              <w:adjustRightInd w:val="0"/>
              <w:snapToGrid w:val="0"/>
              <w:spacing w:line="240" w:lineRule="atLeast"/>
              <w:jc w:val="center"/>
            </w:pPr>
          </w:p>
        </w:tc>
        <w:tc>
          <w:tcPr>
            <w:tcW w:w="953" w:type="dxa"/>
            <w:vMerge w:val="continue"/>
            <w:tcBorders>
              <w:tl2br w:val="nil"/>
              <w:tr2bl w:val="nil"/>
            </w:tcBorders>
            <w:vAlign w:val="center"/>
          </w:tcPr>
          <w:p>
            <w:pPr>
              <w:widowControl/>
              <w:jc w:val="cente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7" w:type="dxa"/>
            <w:vMerge w:val="continue"/>
            <w:tcBorders>
              <w:tl2br w:val="nil"/>
              <w:tr2bl w:val="nil"/>
            </w:tcBorders>
            <w:vAlign w:val="center"/>
          </w:tcPr>
          <w:p>
            <w:pPr>
              <w:suppressAutoHyphens/>
              <w:adjustRightInd w:val="0"/>
              <w:snapToGrid w:val="0"/>
              <w:spacing w:line="240" w:lineRule="atLeast"/>
              <w:jc w:val="center"/>
              <w:rPr>
                <w:color w:val="FF0000"/>
              </w:rPr>
            </w:pPr>
          </w:p>
        </w:tc>
        <w:tc>
          <w:tcPr>
            <w:tcW w:w="1134" w:type="dxa"/>
            <w:vMerge w:val="restart"/>
            <w:tcBorders>
              <w:tl2br w:val="nil"/>
              <w:tr2bl w:val="nil"/>
            </w:tcBorders>
            <w:vAlign w:val="center"/>
          </w:tcPr>
          <w:p>
            <w:pPr>
              <w:jc w:val="center"/>
            </w:pPr>
            <w:r>
              <w:rPr>
                <w:rFonts w:hint="eastAsia"/>
              </w:rPr>
              <w:t>氯化氢</w:t>
            </w:r>
          </w:p>
        </w:tc>
        <w:tc>
          <w:tcPr>
            <w:tcW w:w="851" w:type="dxa"/>
            <w:tcBorders>
              <w:tl2br w:val="nil"/>
              <w:tr2bl w:val="nil"/>
            </w:tcBorders>
            <w:vAlign w:val="center"/>
          </w:tcPr>
          <w:p>
            <w:pPr>
              <w:jc w:val="center"/>
            </w:pPr>
            <w:r>
              <w:rPr>
                <w:b/>
                <w:bCs/>
              </w:rPr>
              <w:t>1#</w:t>
            </w:r>
          </w:p>
        </w:tc>
        <w:tc>
          <w:tcPr>
            <w:tcW w:w="1098" w:type="dxa"/>
            <w:tcBorders>
              <w:tl2br w:val="nil"/>
              <w:tr2bl w:val="nil"/>
            </w:tcBorders>
            <w:vAlign w:val="center"/>
          </w:tcPr>
          <w:p>
            <w:pPr>
              <w:jc w:val="center"/>
            </w:pPr>
            <w:r>
              <w:rPr>
                <w:rFonts w:hint="eastAsia"/>
              </w:rPr>
              <w:t>0.12</w:t>
            </w:r>
          </w:p>
        </w:tc>
        <w:tc>
          <w:tcPr>
            <w:tcW w:w="1099" w:type="dxa"/>
            <w:tcBorders>
              <w:tl2br w:val="nil"/>
              <w:tr2bl w:val="nil"/>
            </w:tcBorders>
            <w:vAlign w:val="center"/>
          </w:tcPr>
          <w:p>
            <w:pPr>
              <w:jc w:val="center"/>
            </w:pPr>
            <w:r>
              <w:rPr>
                <w:rFonts w:hint="eastAsia"/>
              </w:rPr>
              <w:t>0.11</w:t>
            </w:r>
          </w:p>
        </w:tc>
        <w:tc>
          <w:tcPr>
            <w:tcW w:w="1098" w:type="dxa"/>
            <w:tcBorders>
              <w:tl2br w:val="nil"/>
              <w:tr2bl w:val="nil"/>
            </w:tcBorders>
            <w:vAlign w:val="center"/>
          </w:tcPr>
          <w:p>
            <w:pPr>
              <w:jc w:val="center"/>
            </w:pPr>
            <w:r>
              <w:rPr>
                <w:rFonts w:hint="eastAsia"/>
              </w:rPr>
              <w:t>0.12</w:t>
            </w:r>
          </w:p>
        </w:tc>
        <w:tc>
          <w:tcPr>
            <w:tcW w:w="1099" w:type="dxa"/>
            <w:tcBorders>
              <w:tl2br w:val="nil"/>
              <w:tr2bl w:val="nil"/>
            </w:tcBorders>
            <w:vAlign w:val="center"/>
          </w:tcPr>
          <w:p>
            <w:pPr>
              <w:jc w:val="center"/>
            </w:pPr>
            <w:r>
              <w:rPr>
                <w:rFonts w:hint="eastAsia"/>
              </w:rPr>
              <w:t>0.11</w:t>
            </w:r>
          </w:p>
        </w:tc>
        <w:tc>
          <w:tcPr>
            <w:tcW w:w="1098" w:type="dxa"/>
            <w:gridSpan w:val="2"/>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0.10</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0.12</w:t>
            </w:r>
          </w:p>
        </w:tc>
        <w:tc>
          <w:tcPr>
            <w:tcW w:w="1098"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0.12</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0.12</w:t>
            </w:r>
          </w:p>
        </w:tc>
        <w:tc>
          <w:tcPr>
            <w:tcW w:w="851" w:type="dxa"/>
            <w:vMerge w:val="restart"/>
            <w:tcBorders>
              <w:tl2br w:val="nil"/>
              <w:tr2bl w:val="nil"/>
            </w:tcBorders>
            <w:vAlign w:val="center"/>
          </w:tcPr>
          <w:p>
            <w:pPr>
              <w:suppressAutoHyphens/>
              <w:adjustRightInd w:val="0"/>
              <w:snapToGrid w:val="0"/>
              <w:spacing w:line="240" w:lineRule="atLeast"/>
              <w:jc w:val="center"/>
            </w:pPr>
            <w:r>
              <w:rPr>
                <w:rFonts w:hint="eastAsia"/>
              </w:rPr>
              <w:t>0.17</w:t>
            </w:r>
          </w:p>
        </w:tc>
        <w:tc>
          <w:tcPr>
            <w:tcW w:w="953" w:type="dxa"/>
            <w:vMerge w:val="restart"/>
            <w:tcBorders>
              <w:tl2br w:val="nil"/>
              <w:tr2bl w:val="nil"/>
            </w:tcBorders>
            <w:vAlign w:val="center"/>
          </w:tcPr>
          <w:p>
            <w:pPr>
              <w:widowControl/>
              <w:jc w:val="center"/>
            </w:pPr>
            <w:r>
              <w:rPr>
                <w:rFonts w:hint="eastAsia"/>
              </w:rPr>
              <w:t>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7" w:type="dxa"/>
            <w:vMerge w:val="continue"/>
            <w:tcBorders>
              <w:tl2br w:val="nil"/>
              <w:tr2bl w:val="nil"/>
            </w:tcBorders>
            <w:vAlign w:val="center"/>
          </w:tcPr>
          <w:p>
            <w:pPr>
              <w:suppressAutoHyphens/>
              <w:adjustRightInd w:val="0"/>
              <w:snapToGrid w:val="0"/>
              <w:spacing w:line="240" w:lineRule="atLeast"/>
              <w:jc w:val="center"/>
              <w:rPr>
                <w:color w:val="FF0000"/>
              </w:rPr>
            </w:pPr>
          </w:p>
        </w:tc>
        <w:tc>
          <w:tcPr>
            <w:tcW w:w="1134" w:type="dxa"/>
            <w:vMerge w:val="continue"/>
            <w:tcBorders>
              <w:tl2br w:val="nil"/>
              <w:tr2bl w:val="nil"/>
            </w:tcBorders>
            <w:vAlign w:val="center"/>
          </w:tcPr>
          <w:p>
            <w:pPr>
              <w:widowControl/>
              <w:jc w:val="center"/>
            </w:pPr>
          </w:p>
        </w:tc>
        <w:tc>
          <w:tcPr>
            <w:tcW w:w="851" w:type="dxa"/>
            <w:tcBorders>
              <w:tl2br w:val="nil"/>
              <w:tr2bl w:val="nil"/>
            </w:tcBorders>
            <w:vAlign w:val="center"/>
          </w:tcPr>
          <w:p>
            <w:pPr>
              <w:jc w:val="center"/>
            </w:pPr>
            <w:r>
              <w:rPr>
                <w:b/>
                <w:bCs/>
              </w:rPr>
              <w:t>2#</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0.15</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0.14</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0.16</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0.15</w:t>
            </w:r>
          </w:p>
        </w:tc>
        <w:tc>
          <w:tcPr>
            <w:tcW w:w="1098" w:type="dxa"/>
            <w:gridSpan w:val="2"/>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0.14</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0.13</w:t>
            </w:r>
          </w:p>
        </w:tc>
        <w:tc>
          <w:tcPr>
            <w:tcW w:w="1098"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0.13</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0.16</w:t>
            </w:r>
          </w:p>
        </w:tc>
        <w:tc>
          <w:tcPr>
            <w:tcW w:w="851" w:type="dxa"/>
            <w:vMerge w:val="continue"/>
            <w:tcBorders>
              <w:tl2br w:val="nil"/>
              <w:tr2bl w:val="nil"/>
            </w:tcBorders>
            <w:vAlign w:val="center"/>
          </w:tcPr>
          <w:p>
            <w:pPr>
              <w:suppressAutoHyphens/>
              <w:adjustRightInd w:val="0"/>
              <w:snapToGrid w:val="0"/>
              <w:spacing w:line="240" w:lineRule="atLeast"/>
              <w:jc w:val="center"/>
            </w:pPr>
          </w:p>
        </w:tc>
        <w:tc>
          <w:tcPr>
            <w:tcW w:w="953" w:type="dxa"/>
            <w:vMerge w:val="continue"/>
            <w:tcBorders>
              <w:tl2br w:val="nil"/>
              <w:tr2bl w:val="nil"/>
            </w:tcBorders>
            <w:vAlign w:val="center"/>
          </w:tcPr>
          <w:p>
            <w:pPr>
              <w:widowControl/>
              <w:jc w:val="cente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7" w:type="dxa"/>
            <w:vMerge w:val="continue"/>
            <w:tcBorders>
              <w:tl2br w:val="nil"/>
              <w:tr2bl w:val="nil"/>
            </w:tcBorders>
            <w:vAlign w:val="center"/>
          </w:tcPr>
          <w:p>
            <w:pPr>
              <w:suppressAutoHyphens/>
              <w:adjustRightInd w:val="0"/>
              <w:snapToGrid w:val="0"/>
              <w:spacing w:line="240" w:lineRule="atLeast"/>
              <w:jc w:val="center"/>
              <w:rPr>
                <w:color w:val="FF0000"/>
              </w:rPr>
            </w:pPr>
          </w:p>
        </w:tc>
        <w:tc>
          <w:tcPr>
            <w:tcW w:w="1134" w:type="dxa"/>
            <w:vMerge w:val="continue"/>
            <w:tcBorders>
              <w:tl2br w:val="nil"/>
              <w:tr2bl w:val="nil"/>
            </w:tcBorders>
            <w:vAlign w:val="center"/>
          </w:tcPr>
          <w:p>
            <w:pPr>
              <w:widowControl/>
              <w:jc w:val="center"/>
            </w:pPr>
          </w:p>
        </w:tc>
        <w:tc>
          <w:tcPr>
            <w:tcW w:w="851" w:type="dxa"/>
            <w:tcBorders>
              <w:tl2br w:val="nil"/>
              <w:tr2bl w:val="nil"/>
            </w:tcBorders>
            <w:vAlign w:val="center"/>
          </w:tcPr>
          <w:p>
            <w:pPr>
              <w:jc w:val="center"/>
            </w:pPr>
            <w:r>
              <w:rPr>
                <w:b/>
                <w:bCs/>
              </w:rPr>
              <w:t>3#</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0.16</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0.16</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0.16</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0.16</w:t>
            </w:r>
          </w:p>
        </w:tc>
        <w:tc>
          <w:tcPr>
            <w:tcW w:w="1098" w:type="dxa"/>
            <w:gridSpan w:val="2"/>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0.15</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0.14</w:t>
            </w:r>
          </w:p>
        </w:tc>
        <w:tc>
          <w:tcPr>
            <w:tcW w:w="1098"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0.14</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0.15</w:t>
            </w:r>
          </w:p>
        </w:tc>
        <w:tc>
          <w:tcPr>
            <w:tcW w:w="851" w:type="dxa"/>
            <w:vMerge w:val="continue"/>
            <w:tcBorders>
              <w:tl2br w:val="nil"/>
              <w:tr2bl w:val="nil"/>
            </w:tcBorders>
            <w:vAlign w:val="center"/>
          </w:tcPr>
          <w:p>
            <w:pPr>
              <w:suppressAutoHyphens/>
              <w:adjustRightInd w:val="0"/>
              <w:snapToGrid w:val="0"/>
              <w:spacing w:line="240" w:lineRule="atLeast"/>
              <w:jc w:val="center"/>
            </w:pPr>
          </w:p>
        </w:tc>
        <w:tc>
          <w:tcPr>
            <w:tcW w:w="953" w:type="dxa"/>
            <w:vMerge w:val="continue"/>
            <w:tcBorders>
              <w:tl2br w:val="nil"/>
              <w:tr2bl w:val="nil"/>
            </w:tcBorders>
            <w:vAlign w:val="center"/>
          </w:tcPr>
          <w:p>
            <w:pPr>
              <w:widowControl/>
              <w:jc w:val="cente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7" w:type="dxa"/>
            <w:vMerge w:val="continue"/>
            <w:tcBorders>
              <w:tl2br w:val="nil"/>
              <w:tr2bl w:val="nil"/>
            </w:tcBorders>
            <w:vAlign w:val="center"/>
          </w:tcPr>
          <w:p>
            <w:pPr>
              <w:suppressAutoHyphens/>
              <w:adjustRightInd w:val="0"/>
              <w:snapToGrid w:val="0"/>
              <w:spacing w:line="240" w:lineRule="atLeast"/>
              <w:jc w:val="center"/>
              <w:rPr>
                <w:color w:val="FF0000"/>
              </w:rPr>
            </w:pPr>
          </w:p>
        </w:tc>
        <w:tc>
          <w:tcPr>
            <w:tcW w:w="1134" w:type="dxa"/>
            <w:vMerge w:val="continue"/>
            <w:tcBorders>
              <w:tl2br w:val="nil"/>
              <w:tr2bl w:val="nil"/>
            </w:tcBorders>
            <w:vAlign w:val="center"/>
          </w:tcPr>
          <w:p>
            <w:pPr>
              <w:widowControl/>
              <w:jc w:val="center"/>
            </w:pPr>
          </w:p>
        </w:tc>
        <w:tc>
          <w:tcPr>
            <w:tcW w:w="851" w:type="dxa"/>
            <w:tcBorders>
              <w:tl2br w:val="nil"/>
              <w:tr2bl w:val="nil"/>
            </w:tcBorders>
            <w:vAlign w:val="center"/>
          </w:tcPr>
          <w:p>
            <w:pPr>
              <w:jc w:val="center"/>
            </w:pPr>
            <w:r>
              <w:rPr>
                <w:b/>
                <w:bCs/>
              </w:rPr>
              <w:t>4#</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0.17</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0.14</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0.16</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0.16</w:t>
            </w:r>
          </w:p>
        </w:tc>
        <w:tc>
          <w:tcPr>
            <w:tcW w:w="1098" w:type="dxa"/>
            <w:gridSpan w:val="2"/>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0.13</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0.17</w:t>
            </w:r>
          </w:p>
        </w:tc>
        <w:tc>
          <w:tcPr>
            <w:tcW w:w="1098"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0.15</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0.15</w:t>
            </w:r>
          </w:p>
        </w:tc>
        <w:tc>
          <w:tcPr>
            <w:tcW w:w="851" w:type="dxa"/>
            <w:vMerge w:val="continue"/>
            <w:tcBorders>
              <w:tl2br w:val="nil"/>
              <w:tr2bl w:val="nil"/>
            </w:tcBorders>
            <w:vAlign w:val="center"/>
          </w:tcPr>
          <w:p>
            <w:pPr>
              <w:suppressAutoHyphens/>
              <w:adjustRightInd w:val="0"/>
              <w:snapToGrid w:val="0"/>
              <w:spacing w:line="240" w:lineRule="atLeast"/>
              <w:jc w:val="center"/>
            </w:pPr>
          </w:p>
        </w:tc>
        <w:tc>
          <w:tcPr>
            <w:tcW w:w="953" w:type="dxa"/>
            <w:vMerge w:val="continue"/>
            <w:tcBorders>
              <w:tl2br w:val="nil"/>
              <w:tr2bl w:val="nil"/>
            </w:tcBorders>
            <w:vAlign w:val="center"/>
          </w:tcPr>
          <w:p>
            <w:pPr>
              <w:widowControl/>
              <w:jc w:val="cente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7" w:type="dxa"/>
            <w:vMerge w:val="continue"/>
            <w:tcBorders>
              <w:tl2br w:val="nil"/>
              <w:tr2bl w:val="nil"/>
            </w:tcBorders>
            <w:vAlign w:val="center"/>
          </w:tcPr>
          <w:p>
            <w:pPr>
              <w:suppressAutoHyphens/>
              <w:adjustRightInd w:val="0"/>
              <w:snapToGrid w:val="0"/>
              <w:spacing w:line="240" w:lineRule="atLeast"/>
              <w:jc w:val="center"/>
            </w:pPr>
          </w:p>
        </w:tc>
        <w:tc>
          <w:tcPr>
            <w:tcW w:w="1134" w:type="dxa"/>
            <w:vMerge w:val="restart"/>
            <w:tcBorders>
              <w:tl2br w:val="nil"/>
              <w:tr2bl w:val="nil"/>
            </w:tcBorders>
            <w:vAlign w:val="center"/>
          </w:tcPr>
          <w:p>
            <w:pPr>
              <w:jc w:val="center"/>
            </w:pPr>
            <w:r>
              <w:rPr>
                <w:rFonts w:hint="eastAsia"/>
              </w:rPr>
              <w:t>VOCs（以非甲烷总烃计）</w:t>
            </w:r>
          </w:p>
        </w:tc>
        <w:tc>
          <w:tcPr>
            <w:tcW w:w="851" w:type="dxa"/>
            <w:tcBorders>
              <w:tl2br w:val="nil"/>
              <w:tr2bl w:val="nil"/>
            </w:tcBorders>
            <w:vAlign w:val="center"/>
          </w:tcPr>
          <w:p>
            <w:pPr>
              <w:jc w:val="center"/>
            </w:pPr>
            <w:r>
              <w:rPr>
                <w:b/>
                <w:bCs/>
              </w:rPr>
              <w:t>1#</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0.34</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0.43</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0.43</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0.42</w:t>
            </w:r>
          </w:p>
        </w:tc>
        <w:tc>
          <w:tcPr>
            <w:tcW w:w="1098" w:type="dxa"/>
            <w:gridSpan w:val="2"/>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0.42</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0.51</w:t>
            </w:r>
          </w:p>
        </w:tc>
        <w:tc>
          <w:tcPr>
            <w:tcW w:w="1098"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0.51</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0.46</w:t>
            </w:r>
          </w:p>
        </w:tc>
        <w:tc>
          <w:tcPr>
            <w:tcW w:w="851" w:type="dxa"/>
            <w:vMerge w:val="restart"/>
            <w:tcBorders>
              <w:tl2br w:val="nil"/>
              <w:tr2bl w:val="nil"/>
            </w:tcBorders>
            <w:vAlign w:val="center"/>
          </w:tcPr>
          <w:p>
            <w:pPr>
              <w:suppressAutoHyphens/>
              <w:adjustRightInd w:val="0"/>
              <w:snapToGrid w:val="0"/>
              <w:spacing w:line="240" w:lineRule="atLeast"/>
              <w:jc w:val="center"/>
            </w:pPr>
            <w:r>
              <w:rPr>
                <w:rFonts w:hint="eastAsia"/>
              </w:rPr>
              <w:t>1.08</w:t>
            </w:r>
          </w:p>
        </w:tc>
        <w:tc>
          <w:tcPr>
            <w:tcW w:w="953" w:type="dxa"/>
            <w:vMerge w:val="restart"/>
            <w:tcBorders>
              <w:tl2br w:val="nil"/>
              <w:tr2bl w:val="nil"/>
            </w:tcBorders>
            <w:vAlign w:val="center"/>
          </w:tcPr>
          <w:p>
            <w:pPr>
              <w:widowControl/>
              <w:jc w:val="center"/>
            </w:pPr>
            <w:r>
              <w:rPr>
                <w:rFonts w:hint="eastAsia"/>
              </w:rPr>
              <w:t>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7" w:type="dxa"/>
            <w:vMerge w:val="continue"/>
            <w:tcBorders>
              <w:tl2br w:val="nil"/>
              <w:tr2bl w:val="nil"/>
            </w:tcBorders>
            <w:vAlign w:val="center"/>
          </w:tcPr>
          <w:p>
            <w:pPr>
              <w:suppressAutoHyphens/>
              <w:adjustRightInd w:val="0"/>
              <w:snapToGrid w:val="0"/>
              <w:spacing w:line="240" w:lineRule="atLeast"/>
              <w:jc w:val="center"/>
              <w:rPr>
                <w:color w:val="FF0000"/>
              </w:rPr>
            </w:pPr>
          </w:p>
        </w:tc>
        <w:tc>
          <w:tcPr>
            <w:tcW w:w="1134" w:type="dxa"/>
            <w:vMerge w:val="continue"/>
            <w:tcBorders>
              <w:tl2br w:val="nil"/>
              <w:tr2bl w:val="nil"/>
            </w:tcBorders>
            <w:vAlign w:val="center"/>
          </w:tcPr>
          <w:p>
            <w:pPr>
              <w:widowControl/>
              <w:jc w:val="center"/>
            </w:pPr>
          </w:p>
        </w:tc>
        <w:tc>
          <w:tcPr>
            <w:tcW w:w="851" w:type="dxa"/>
            <w:tcBorders>
              <w:tl2br w:val="nil"/>
              <w:tr2bl w:val="nil"/>
            </w:tcBorders>
            <w:vAlign w:val="center"/>
          </w:tcPr>
          <w:p>
            <w:pPr>
              <w:jc w:val="center"/>
            </w:pPr>
            <w:r>
              <w:rPr>
                <w:b/>
                <w:bCs/>
              </w:rPr>
              <w:t>2#</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1.08</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0.90</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0.78</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0.58</w:t>
            </w:r>
          </w:p>
        </w:tc>
        <w:tc>
          <w:tcPr>
            <w:tcW w:w="1098" w:type="dxa"/>
            <w:gridSpan w:val="2"/>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0.72</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0.60</w:t>
            </w:r>
          </w:p>
        </w:tc>
        <w:tc>
          <w:tcPr>
            <w:tcW w:w="1098"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0.78</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0.91</w:t>
            </w:r>
          </w:p>
        </w:tc>
        <w:tc>
          <w:tcPr>
            <w:tcW w:w="851" w:type="dxa"/>
            <w:vMerge w:val="continue"/>
            <w:tcBorders>
              <w:tl2br w:val="nil"/>
              <w:tr2bl w:val="nil"/>
            </w:tcBorders>
            <w:vAlign w:val="center"/>
          </w:tcPr>
          <w:p>
            <w:pPr>
              <w:suppressAutoHyphens/>
              <w:adjustRightInd w:val="0"/>
              <w:snapToGrid w:val="0"/>
              <w:spacing w:line="240" w:lineRule="atLeast"/>
              <w:jc w:val="center"/>
            </w:pPr>
          </w:p>
        </w:tc>
        <w:tc>
          <w:tcPr>
            <w:tcW w:w="953" w:type="dxa"/>
            <w:vMerge w:val="continue"/>
            <w:tcBorders>
              <w:tl2br w:val="nil"/>
              <w:tr2bl w:val="nil"/>
            </w:tcBorders>
            <w:vAlign w:val="center"/>
          </w:tcPr>
          <w:p>
            <w:pPr>
              <w:widowControl/>
              <w:jc w:val="cente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7" w:type="dxa"/>
            <w:vMerge w:val="continue"/>
            <w:tcBorders>
              <w:tl2br w:val="nil"/>
              <w:tr2bl w:val="nil"/>
            </w:tcBorders>
            <w:vAlign w:val="center"/>
          </w:tcPr>
          <w:p>
            <w:pPr>
              <w:suppressAutoHyphens/>
              <w:adjustRightInd w:val="0"/>
              <w:snapToGrid w:val="0"/>
              <w:spacing w:line="240" w:lineRule="atLeast"/>
              <w:jc w:val="center"/>
              <w:rPr>
                <w:color w:val="FF0000"/>
              </w:rPr>
            </w:pPr>
          </w:p>
        </w:tc>
        <w:tc>
          <w:tcPr>
            <w:tcW w:w="1134" w:type="dxa"/>
            <w:vMerge w:val="continue"/>
            <w:tcBorders>
              <w:tl2br w:val="nil"/>
              <w:tr2bl w:val="nil"/>
            </w:tcBorders>
            <w:vAlign w:val="center"/>
          </w:tcPr>
          <w:p>
            <w:pPr>
              <w:widowControl/>
              <w:jc w:val="center"/>
            </w:pPr>
          </w:p>
        </w:tc>
        <w:tc>
          <w:tcPr>
            <w:tcW w:w="851" w:type="dxa"/>
            <w:tcBorders>
              <w:tl2br w:val="nil"/>
              <w:tr2bl w:val="nil"/>
            </w:tcBorders>
            <w:vAlign w:val="center"/>
          </w:tcPr>
          <w:p>
            <w:pPr>
              <w:jc w:val="center"/>
            </w:pPr>
            <w:r>
              <w:rPr>
                <w:b/>
                <w:bCs/>
              </w:rPr>
              <w:t>3#</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0.66</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0.72</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0.63</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0.62</w:t>
            </w:r>
          </w:p>
        </w:tc>
        <w:tc>
          <w:tcPr>
            <w:tcW w:w="1098" w:type="dxa"/>
            <w:gridSpan w:val="2"/>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0.92</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0.96</w:t>
            </w:r>
          </w:p>
        </w:tc>
        <w:tc>
          <w:tcPr>
            <w:tcW w:w="1098"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0.93</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0.98</w:t>
            </w:r>
          </w:p>
        </w:tc>
        <w:tc>
          <w:tcPr>
            <w:tcW w:w="851" w:type="dxa"/>
            <w:vMerge w:val="continue"/>
            <w:tcBorders>
              <w:tl2br w:val="nil"/>
              <w:tr2bl w:val="nil"/>
            </w:tcBorders>
            <w:vAlign w:val="center"/>
          </w:tcPr>
          <w:p>
            <w:pPr>
              <w:suppressAutoHyphens/>
              <w:adjustRightInd w:val="0"/>
              <w:snapToGrid w:val="0"/>
              <w:spacing w:line="240" w:lineRule="atLeast"/>
              <w:jc w:val="center"/>
            </w:pPr>
          </w:p>
        </w:tc>
        <w:tc>
          <w:tcPr>
            <w:tcW w:w="953" w:type="dxa"/>
            <w:vMerge w:val="continue"/>
            <w:tcBorders>
              <w:tl2br w:val="nil"/>
              <w:tr2bl w:val="nil"/>
            </w:tcBorders>
            <w:vAlign w:val="center"/>
          </w:tcPr>
          <w:p>
            <w:pPr>
              <w:widowControl/>
              <w:jc w:val="cente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7" w:type="dxa"/>
            <w:vMerge w:val="continue"/>
            <w:tcBorders>
              <w:tl2br w:val="nil"/>
              <w:tr2bl w:val="nil"/>
            </w:tcBorders>
            <w:vAlign w:val="center"/>
          </w:tcPr>
          <w:p>
            <w:pPr>
              <w:suppressAutoHyphens/>
              <w:adjustRightInd w:val="0"/>
              <w:snapToGrid w:val="0"/>
              <w:spacing w:line="240" w:lineRule="atLeast"/>
              <w:jc w:val="center"/>
              <w:rPr>
                <w:color w:val="FF0000"/>
              </w:rPr>
            </w:pPr>
          </w:p>
        </w:tc>
        <w:tc>
          <w:tcPr>
            <w:tcW w:w="1134" w:type="dxa"/>
            <w:vMerge w:val="continue"/>
            <w:tcBorders>
              <w:tl2br w:val="nil"/>
              <w:tr2bl w:val="nil"/>
            </w:tcBorders>
            <w:vAlign w:val="center"/>
          </w:tcPr>
          <w:p>
            <w:pPr>
              <w:widowControl/>
              <w:jc w:val="center"/>
            </w:pPr>
          </w:p>
        </w:tc>
        <w:tc>
          <w:tcPr>
            <w:tcW w:w="851" w:type="dxa"/>
            <w:tcBorders>
              <w:tl2br w:val="nil"/>
              <w:tr2bl w:val="nil"/>
            </w:tcBorders>
            <w:vAlign w:val="center"/>
          </w:tcPr>
          <w:p>
            <w:pPr>
              <w:jc w:val="center"/>
            </w:pPr>
            <w:r>
              <w:rPr>
                <w:b/>
                <w:bCs/>
              </w:rPr>
              <w:t>4#</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0.65</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0.63</w:t>
            </w:r>
          </w:p>
        </w:tc>
        <w:tc>
          <w:tcPr>
            <w:tcW w:w="1098"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0.62</w:t>
            </w:r>
          </w:p>
        </w:tc>
        <w:tc>
          <w:tcPr>
            <w:tcW w:w="1099" w:type="dxa"/>
            <w:tcBorders>
              <w:tl2br w:val="nil"/>
              <w:tr2bl w:val="nil"/>
            </w:tcBorders>
            <w:vAlign w:val="center"/>
          </w:tcPr>
          <w:p>
            <w:pPr>
              <w:pStyle w:val="138"/>
              <w:jc w:val="center"/>
              <w:rPr>
                <w:rFonts w:ascii="Times New Roman"/>
                <w:color w:val="auto"/>
                <w:kern w:val="2"/>
                <w:sz w:val="21"/>
                <w:szCs w:val="21"/>
              </w:rPr>
            </w:pPr>
            <w:r>
              <w:rPr>
                <w:rFonts w:hint="eastAsia" w:ascii="Times New Roman"/>
                <w:color w:val="auto"/>
                <w:kern w:val="2"/>
                <w:sz w:val="21"/>
                <w:szCs w:val="21"/>
              </w:rPr>
              <w:t>0.62</w:t>
            </w:r>
          </w:p>
        </w:tc>
        <w:tc>
          <w:tcPr>
            <w:tcW w:w="1098" w:type="dxa"/>
            <w:gridSpan w:val="2"/>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1.00</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1.04</w:t>
            </w:r>
          </w:p>
        </w:tc>
        <w:tc>
          <w:tcPr>
            <w:tcW w:w="1098"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0.99</w:t>
            </w:r>
          </w:p>
        </w:tc>
        <w:tc>
          <w:tcPr>
            <w:tcW w:w="1099" w:type="dxa"/>
            <w:tcBorders>
              <w:tl2br w:val="nil"/>
              <w:tr2bl w:val="nil"/>
            </w:tcBorders>
            <w:vAlign w:val="center"/>
          </w:tcPr>
          <w:p>
            <w:pPr>
              <w:pStyle w:val="139"/>
              <w:jc w:val="center"/>
              <w:rPr>
                <w:rFonts w:ascii="Times New Roman"/>
                <w:color w:val="auto"/>
                <w:kern w:val="2"/>
                <w:sz w:val="21"/>
                <w:szCs w:val="21"/>
              </w:rPr>
            </w:pPr>
            <w:r>
              <w:rPr>
                <w:rFonts w:hint="eastAsia" w:ascii="Times New Roman"/>
                <w:color w:val="auto"/>
                <w:kern w:val="2"/>
                <w:sz w:val="21"/>
                <w:szCs w:val="21"/>
              </w:rPr>
              <w:t>0.97</w:t>
            </w:r>
          </w:p>
        </w:tc>
        <w:tc>
          <w:tcPr>
            <w:tcW w:w="851" w:type="dxa"/>
            <w:vMerge w:val="continue"/>
            <w:tcBorders>
              <w:tl2br w:val="nil"/>
              <w:tr2bl w:val="nil"/>
            </w:tcBorders>
            <w:vAlign w:val="center"/>
          </w:tcPr>
          <w:p>
            <w:pPr>
              <w:suppressAutoHyphens/>
              <w:adjustRightInd w:val="0"/>
              <w:snapToGrid w:val="0"/>
              <w:spacing w:line="240" w:lineRule="atLeast"/>
              <w:jc w:val="center"/>
            </w:pPr>
          </w:p>
        </w:tc>
        <w:tc>
          <w:tcPr>
            <w:tcW w:w="953" w:type="dxa"/>
            <w:vMerge w:val="continue"/>
            <w:tcBorders>
              <w:tl2br w:val="nil"/>
              <w:tr2bl w:val="nil"/>
            </w:tcBorders>
            <w:vAlign w:val="center"/>
          </w:tcPr>
          <w:p>
            <w:pPr>
              <w:widowControl/>
              <w:jc w:val="center"/>
            </w:pPr>
          </w:p>
        </w:tc>
      </w:tr>
    </w:tbl>
    <w:p>
      <w:pPr>
        <w:contextualSpacing/>
        <w:jc w:val="center"/>
        <w:rPr>
          <w:b/>
          <w:bCs/>
        </w:rPr>
      </w:pPr>
      <w:r>
        <w:rPr>
          <w:b/>
          <w:bCs/>
          <w:color w:val="000000"/>
        </w:rPr>
        <w:t>表9.2-</w:t>
      </w:r>
      <w:r>
        <w:rPr>
          <w:rFonts w:hint="eastAsia"/>
          <w:b/>
          <w:bCs/>
          <w:color w:val="000000"/>
          <w:lang w:val="en-US" w:eastAsia="zh-CN"/>
        </w:rPr>
        <w:t>5厂区内装置区</w:t>
      </w:r>
      <w:r>
        <w:rPr>
          <w:b/>
          <w:bCs/>
          <w:color w:val="000000"/>
        </w:rPr>
        <w:t>无组织废气监测结果统计表</w:t>
      </w:r>
    </w:p>
    <w:tbl>
      <w:tblPr>
        <w:tblStyle w:val="39"/>
        <w:tblW w:w="1317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268"/>
        <w:gridCol w:w="3047"/>
        <w:gridCol w:w="352"/>
        <w:gridCol w:w="2696"/>
        <w:gridCol w:w="1701"/>
        <w:gridCol w:w="173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1384" w:type="dxa"/>
            <w:vMerge w:val="restart"/>
            <w:noWrap w:val="0"/>
            <w:vAlign w:val="center"/>
          </w:tcPr>
          <w:p>
            <w:pPr>
              <w:spacing w:line="192" w:lineRule="atLeast"/>
              <w:jc w:val="center"/>
              <w:rPr>
                <w:b/>
                <w:bCs/>
              </w:rPr>
            </w:pPr>
            <w:r>
              <w:rPr>
                <w:b/>
                <w:bCs/>
              </w:rPr>
              <w:t>监测项目</w:t>
            </w:r>
          </w:p>
        </w:tc>
        <w:tc>
          <w:tcPr>
            <w:tcW w:w="2268" w:type="dxa"/>
            <w:vMerge w:val="restart"/>
            <w:noWrap w:val="0"/>
            <w:vAlign w:val="center"/>
          </w:tcPr>
          <w:p>
            <w:pPr>
              <w:spacing w:line="192" w:lineRule="atLeast"/>
              <w:jc w:val="center"/>
              <w:rPr>
                <w:b/>
                <w:bCs/>
              </w:rPr>
            </w:pPr>
            <w:r>
              <w:rPr>
                <w:b/>
                <w:bCs/>
              </w:rPr>
              <w:t>监测时段</w:t>
            </w:r>
          </w:p>
        </w:tc>
        <w:tc>
          <w:tcPr>
            <w:tcW w:w="9526" w:type="dxa"/>
            <w:gridSpan w:val="5"/>
            <w:noWrap w:val="0"/>
            <w:vAlign w:val="center"/>
          </w:tcPr>
          <w:p>
            <w:pPr>
              <w:spacing w:line="192" w:lineRule="atLeast"/>
              <w:jc w:val="center"/>
              <w:rPr>
                <w:b/>
                <w:bCs/>
              </w:rPr>
            </w:pPr>
            <w:r>
              <w:rPr>
                <w:b/>
                <w:bCs/>
              </w:rPr>
              <w:t>监测结果（单位：mg/m</w:t>
            </w:r>
            <w:r>
              <w:rPr>
                <w:b/>
                <w:bCs/>
                <w:vertAlign w:val="superscript"/>
              </w:rPr>
              <w:t>3</w:t>
            </w:r>
            <w:r>
              <w:rPr>
                <w:b/>
                <w:bCs/>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3" w:hRule="atLeast"/>
          <w:tblHeader/>
          <w:jc w:val="center"/>
        </w:trPr>
        <w:tc>
          <w:tcPr>
            <w:tcW w:w="1384" w:type="dxa"/>
            <w:vMerge w:val="continue"/>
            <w:noWrap w:val="0"/>
            <w:vAlign w:val="center"/>
          </w:tcPr>
          <w:p>
            <w:pPr>
              <w:widowControl/>
              <w:jc w:val="left"/>
              <w:rPr>
                <w:b/>
                <w:bCs/>
              </w:rPr>
            </w:pPr>
          </w:p>
        </w:tc>
        <w:tc>
          <w:tcPr>
            <w:tcW w:w="2268" w:type="dxa"/>
            <w:vMerge w:val="continue"/>
            <w:noWrap w:val="0"/>
            <w:vAlign w:val="center"/>
          </w:tcPr>
          <w:p>
            <w:pPr>
              <w:widowControl/>
              <w:jc w:val="left"/>
              <w:rPr>
                <w:b/>
                <w:bCs/>
              </w:rPr>
            </w:pPr>
          </w:p>
        </w:tc>
        <w:tc>
          <w:tcPr>
            <w:tcW w:w="3399" w:type="dxa"/>
            <w:gridSpan w:val="2"/>
            <w:noWrap w:val="0"/>
            <w:vAlign w:val="center"/>
          </w:tcPr>
          <w:p>
            <w:pPr>
              <w:widowControl/>
              <w:jc w:val="center"/>
              <w:rPr>
                <w:rFonts w:hint="default" w:eastAsia="宋体"/>
                <w:b/>
                <w:bCs/>
                <w:lang w:val="en-US" w:eastAsia="zh-CN"/>
              </w:rPr>
            </w:pPr>
            <w:r>
              <w:rPr>
                <w:b/>
                <w:bCs/>
              </w:rPr>
              <w:t>20</w:t>
            </w:r>
            <w:r>
              <w:rPr>
                <w:rFonts w:hint="eastAsia"/>
                <w:b/>
                <w:bCs/>
                <w:lang w:val="en-US" w:eastAsia="zh-CN"/>
              </w:rPr>
              <w:t>24.7.14</w:t>
            </w:r>
          </w:p>
        </w:tc>
        <w:tc>
          <w:tcPr>
            <w:tcW w:w="2696" w:type="dxa"/>
            <w:noWrap w:val="0"/>
            <w:vAlign w:val="center"/>
          </w:tcPr>
          <w:p>
            <w:pPr>
              <w:widowControl/>
              <w:jc w:val="center"/>
              <w:rPr>
                <w:rFonts w:hint="default" w:eastAsia="宋体"/>
                <w:b/>
                <w:bCs/>
                <w:lang w:val="en-US" w:eastAsia="zh-CN"/>
              </w:rPr>
            </w:pPr>
            <w:r>
              <w:rPr>
                <w:b/>
                <w:bCs/>
              </w:rPr>
              <w:t>202</w:t>
            </w:r>
            <w:r>
              <w:rPr>
                <w:rFonts w:hint="eastAsia"/>
                <w:b/>
                <w:bCs/>
                <w:lang w:val="en-US" w:eastAsia="zh-CN"/>
              </w:rPr>
              <w:t>4.7.15</w:t>
            </w:r>
          </w:p>
        </w:tc>
        <w:tc>
          <w:tcPr>
            <w:tcW w:w="1701" w:type="dxa"/>
            <w:vMerge w:val="restart"/>
            <w:noWrap w:val="0"/>
            <w:vAlign w:val="center"/>
          </w:tcPr>
          <w:p>
            <w:pPr>
              <w:jc w:val="center"/>
              <w:rPr>
                <w:b/>
                <w:bCs/>
              </w:rPr>
            </w:pPr>
            <w:r>
              <w:rPr>
                <w:b/>
                <w:bCs/>
              </w:rPr>
              <w:t>最高值</w:t>
            </w:r>
          </w:p>
        </w:tc>
        <w:tc>
          <w:tcPr>
            <w:tcW w:w="1730" w:type="dxa"/>
            <w:vMerge w:val="restart"/>
            <w:noWrap w:val="0"/>
            <w:vAlign w:val="center"/>
          </w:tcPr>
          <w:p>
            <w:pPr>
              <w:jc w:val="center"/>
              <w:rPr>
                <w:b/>
                <w:bCs/>
              </w:rPr>
            </w:pPr>
            <w:r>
              <w:rPr>
                <w:b/>
                <w:bCs/>
              </w:rPr>
              <w:t>执行标准</w:t>
            </w:r>
            <w:r>
              <w:rPr>
                <w:rFonts w:hint="eastAsia"/>
                <w:b/>
                <w:bCs/>
              </w:rPr>
              <w:t>见</w:t>
            </w:r>
            <w:r>
              <w:rPr>
                <w:b/>
                <w:bCs/>
              </w:rPr>
              <w:t>6.1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2" w:hRule="atLeast"/>
          <w:tblHeader/>
          <w:jc w:val="center"/>
        </w:trPr>
        <w:tc>
          <w:tcPr>
            <w:tcW w:w="1384" w:type="dxa"/>
            <w:vMerge w:val="continue"/>
            <w:noWrap w:val="0"/>
            <w:vAlign w:val="center"/>
          </w:tcPr>
          <w:p>
            <w:pPr>
              <w:widowControl/>
              <w:jc w:val="left"/>
              <w:rPr>
                <w:b/>
                <w:bCs/>
              </w:rPr>
            </w:pPr>
          </w:p>
        </w:tc>
        <w:tc>
          <w:tcPr>
            <w:tcW w:w="2268" w:type="dxa"/>
            <w:vMerge w:val="continue"/>
            <w:noWrap w:val="0"/>
            <w:vAlign w:val="center"/>
          </w:tcPr>
          <w:p>
            <w:pPr>
              <w:widowControl/>
              <w:jc w:val="left"/>
              <w:rPr>
                <w:b/>
                <w:bCs/>
              </w:rPr>
            </w:pPr>
          </w:p>
        </w:tc>
        <w:tc>
          <w:tcPr>
            <w:tcW w:w="6095" w:type="dxa"/>
            <w:gridSpan w:val="3"/>
            <w:noWrap w:val="0"/>
            <w:vAlign w:val="center"/>
          </w:tcPr>
          <w:p>
            <w:pPr>
              <w:jc w:val="center"/>
              <w:rPr>
                <w:b/>
                <w:bCs/>
              </w:rPr>
            </w:pPr>
            <w:r>
              <w:rPr>
                <w:rFonts w:hint="eastAsia"/>
                <w:b/>
                <w:bCs/>
              </w:rPr>
              <w:t>装置区</w:t>
            </w:r>
          </w:p>
        </w:tc>
        <w:tc>
          <w:tcPr>
            <w:tcW w:w="1701" w:type="dxa"/>
            <w:vMerge w:val="continue"/>
            <w:noWrap w:val="0"/>
            <w:vAlign w:val="center"/>
          </w:tcPr>
          <w:p>
            <w:pPr>
              <w:widowControl/>
              <w:jc w:val="center"/>
              <w:rPr>
                <w:b/>
                <w:bCs/>
              </w:rPr>
            </w:pPr>
          </w:p>
        </w:tc>
        <w:tc>
          <w:tcPr>
            <w:tcW w:w="1730" w:type="dxa"/>
            <w:vMerge w:val="continue"/>
            <w:noWrap w:val="0"/>
            <w:vAlign w:val="center"/>
          </w:tcPr>
          <w:p>
            <w:pPr>
              <w:widowControl/>
              <w:jc w:val="center"/>
              <w:rPr>
                <w:b/>
                <w:bC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84" w:type="dxa"/>
            <w:vMerge w:val="restart"/>
            <w:noWrap w:val="0"/>
            <w:vAlign w:val="center"/>
          </w:tcPr>
          <w:p>
            <w:pPr>
              <w:jc w:val="center"/>
            </w:pPr>
            <w:r>
              <w:rPr>
                <w:rFonts w:hint="eastAsia"/>
              </w:rPr>
              <w:t>VOCs（以非甲烷总烃计）</w:t>
            </w:r>
          </w:p>
        </w:tc>
        <w:tc>
          <w:tcPr>
            <w:tcW w:w="2268" w:type="dxa"/>
            <w:noWrap w:val="0"/>
            <w:vAlign w:val="center"/>
          </w:tcPr>
          <w:p>
            <w:pPr>
              <w:jc w:val="center"/>
            </w:pPr>
            <w:r>
              <w:t>第1次</w:t>
            </w:r>
          </w:p>
        </w:tc>
        <w:tc>
          <w:tcPr>
            <w:tcW w:w="3047" w:type="dxa"/>
            <w:noWrap w:val="0"/>
            <w:vAlign w:val="center"/>
          </w:tcPr>
          <w:p>
            <w:pPr>
              <w:spacing w:line="240" w:lineRule="atLeast"/>
              <w:jc w:val="center"/>
              <w:rPr>
                <w:rFonts w:hint="eastAsia" w:eastAsia="宋体"/>
                <w:lang w:val="en-US" w:eastAsia="zh-CN"/>
              </w:rPr>
            </w:pPr>
            <w:r>
              <w:rPr>
                <w:rFonts w:hint="eastAsia"/>
              </w:rPr>
              <w:t>0.6</w:t>
            </w:r>
            <w:r>
              <w:rPr>
                <w:rFonts w:hint="eastAsia"/>
                <w:lang w:val="en-US" w:eastAsia="zh-CN"/>
              </w:rPr>
              <w:t>9</w:t>
            </w:r>
          </w:p>
        </w:tc>
        <w:tc>
          <w:tcPr>
            <w:tcW w:w="3048" w:type="dxa"/>
            <w:gridSpan w:val="2"/>
            <w:noWrap w:val="0"/>
            <w:vAlign w:val="center"/>
          </w:tcPr>
          <w:p>
            <w:pPr>
              <w:spacing w:line="240" w:lineRule="atLeast"/>
              <w:jc w:val="center"/>
              <w:rPr>
                <w:rFonts w:hint="default" w:eastAsia="宋体"/>
                <w:lang w:val="en-US" w:eastAsia="zh-CN"/>
              </w:rPr>
            </w:pPr>
            <w:r>
              <w:rPr>
                <w:rFonts w:hint="eastAsia"/>
              </w:rPr>
              <w:t>0.</w:t>
            </w:r>
            <w:r>
              <w:rPr>
                <w:rFonts w:hint="eastAsia"/>
                <w:lang w:val="en-US" w:eastAsia="zh-CN"/>
              </w:rPr>
              <w:t>69</w:t>
            </w:r>
          </w:p>
        </w:tc>
        <w:tc>
          <w:tcPr>
            <w:tcW w:w="1701" w:type="dxa"/>
            <w:vMerge w:val="restart"/>
            <w:noWrap w:val="0"/>
            <w:vAlign w:val="center"/>
          </w:tcPr>
          <w:p>
            <w:pPr>
              <w:spacing w:line="240" w:lineRule="atLeast"/>
              <w:jc w:val="center"/>
              <w:rPr>
                <w:rFonts w:hint="default" w:eastAsia="宋体"/>
                <w:lang w:val="en-US" w:eastAsia="zh-CN"/>
              </w:rPr>
            </w:pPr>
            <w:r>
              <w:rPr>
                <w:rFonts w:hint="eastAsia"/>
                <w:lang w:val="en-US" w:eastAsia="zh-CN"/>
              </w:rPr>
              <w:t>0.76</w:t>
            </w:r>
          </w:p>
        </w:tc>
        <w:tc>
          <w:tcPr>
            <w:tcW w:w="1730" w:type="dxa"/>
            <w:vMerge w:val="restart"/>
            <w:noWrap w:val="0"/>
            <w:vAlign w:val="center"/>
          </w:tcPr>
          <w:p>
            <w:pPr>
              <w:spacing w:line="240" w:lineRule="atLeast"/>
              <w:jc w:val="center"/>
            </w:pPr>
            <w:r>
              <w:rPr>
                <w:rFonts w:hint="eastAsia"/>
              </w:rPr>
              <w:t>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84" w:type="dxa"/>
            <w:vMerge w:val="continue"/>
            <w:noWrap w:val="0"/>
            <w:vAlign w:val="center"/>
          </w:tcPr>
          <w:p>
            <w:pPr>
              <w:widowControl/>
              <w:jc w:val="center"/>
            </w:pPr>
          </w:p>
        </w:tc>
        <w:tc>
          <w:tcPr>
            <w:tcW w:w="2268" w:type="dxa"/>
            <w:noWrap w:val="0"/>
            <w:vAlign w:val="center"/>
          </w:tcPr>
          <w:p>
            <w:pPr>
              <w:jc w:val="center"/>
            </w:pPr>
            <w:r>
              <w:t>第2次</w:t>
            </w:r>
          </w:p>
        </w:tc>
        <w:tc>
          <w:tcPr>
            <w:tcW w:w="3047" w:type="dxa"/>
            <w:noWrap w:val="0"/>
            <w:vAlign w:val="center"/>
          </w:tcPr>
          <w:p>
            <w:pPr>
              <w:jc w:val="center"/>
              <w:rPr>
                <w:rFonts w:hint="eastAsia" w:eastAsia="宋体"/>
                <w:lang w:eastAsia="zh-CN"/>
              </w:rPr>
            </w:pPr>
            <w:r>
              <w:rPr>
                <w:rFonts w:hint="eastAsia"/>
              </w:rPr>
              <w:t>0.7</w:t>
            </w:r>
            <w:r>
              <w:rPr>
                <w:rFonts w:hint="eastAsia"/>
                <w:lang w:val="en-US" w:eastAsia="zh-CN"/>
              </w:rPr>
              <w:t>2</w:t>
            </w:r>
          </w:p>
        </w:tc>
        <w:tc>
          <w:tcPr>
            <w:tcW w:w="3048" w:type="dxa"/>
            <w:gridSpan w:val="2"/>
            <w:noWrap w:val="0"/>
            <w:vAlign w:val="center"/>
          </w:tcPr>
          <w:p>
            <w:pPr>
              <w:jc w:val="center"/>
            </w:pPr>
            <w:r>
              <w:rPr>
                <w:rFonts w:hint="eastAsia"/>
              </w:rPr>
              <w:t>0.76</w:t>
            </w:r>
          </w:p>
        </w:tc>
        <w:tc>
          <w:tcPr>
            <w:tcW w:w="1701" w:type="dxa"/>
            <w:vMerge w:val="continue"/>
            <w:noWrap w:val="0"/>
            <w:vAlign w:val="center"/>
          </w:tcPr>
          <w:p>
            <w:pPr>
              <w:spacing w:line="240" w:lineRule="atLeast"/>
              <w:jc w:val="center"/>
            </w:pPr>
          </w:p>
        </w:tc>
        <w:tc>
          <w:tcPr>
            <w:tcW w:w="1730" w:type="dxa"/>
            <w:vMerge w:val="continue"/>
            <w:noWrap w:val="0"/>
            <w:vAlign w:val="center"/>
          </w:tcPr>
          <w:p>
            <w:pPr>
              <w:widowControl/>
              <w:jc w:val="cente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84" w:type="dxa"/>
            <w:vMerge w:val="continue"/>
            <w:noWrap w:val="0"/>
            <w:vAlign w:val="center"/>
          </w:tcPr>
          <w:p>
            <w:pPr>
              <w:widowControl/>
              <w:jc w:val="center"/>
            </w:pPr>
          </w:p>
        </w:tc>
        <w:tc>
          <w:tcPr>
            <w:tcW w:w="2268" w:type="dxa"/>
            <w:noWrap w:val="0"/>
            <w:vAlign w:val="center"/>
          </w:tcPr>
          <w:p>
            <w:pPr>
              <w:jc w:val="center"/>
            </w:pPr>
            <w:r>
              <w:t>第3次</w:t>
            </w:r>
          </w:p>
        </w:tc>
        <w:tc>
          <w:tcPr>
            <w:tcW w:w="3047" w:type="dxa"/>
            <w:noWrap w:val="0"/>
            <w:vAlign w:val="center"/>
          </w:tcPr>
          <w:p>
            <w:pPr>
              <w:jc w:val="center"/>
              <w:rPr>
                <w:rFonts w:hint="eastAsia" w:eastAsia="宋体"/>
                <w:lang w:eastAsia="zh-CN"/>
              </w:rPr>
            </w:pPr>
            <w:r>
              <w:rPr>
                <w:rFonts w:hint="eastAsia"/>
              </w:rPr>
              <w:t>0.7</w:t>
            </w:r>
            <w:r>
              <w:rPr>
                <w:rFonts w:hint="eastAsia"/>
                <w:lang w:val="en-US" w:eastAsia="zh-CN"/>
              </w:rPr>
              <w:t>6</w:t>
            </w:r>
          </w:p>
        </w:tc>
        <w:tc>
          <w:tcPr>
            <w:tcW w:w="3048" w:type="dxa"/>
            <w:gridSpan w:val="2"/>
            <w:noWrap w:val="0"/>
            <w:vAlign w:val="center"/>
          </w:tcPr>
          <w:p>
            <w:pPr>
              <w:jc w:val="center"/>
              <w:rPr>
                <w:rFonts w:hint="default" w:eastAsia="宋体"/>
                <w:lang w:val="en-US" w:eastAsia="zh-CN"/>
              </w:rPr>
            </w:pPr>
            <w:r>
              <w:rPr>
                <w:rFonts w:hint="eastAsia"/>
                <w:lang w:val="en-US" w:eastAsia="zh-CN"/>
              </w:rPr>
              <w:t>0.70</w:t>
            </w:r>
          </w:p>
        </w:tc>
        <w:tc>
          <w:tcPr>
            <w:tcW w:w="1701" w:type="dxa"/>
            <w:vMerge w:val="continue"/>
            <w:noWrap w:val="0"/>
            <w:vAlign w:val="center"/>
          </w:tcPr>
          <w:p>
            <w:pPr>
              <w:spacing w:line="240" w:lineRule="atLeast"/>
              <w:jc w:val="center"/>
            </w:pPr>
          </w:p>
        </w:tc>
        <w:tc>
          <w:tcPr>
            <w:tcW w:w="1730" w:type="dxa"/>
            <w:vMerge w:val="continue"/>
            <w:noWrap w:val="0"/>
            <w:vAlign w:val="center"/>
          </w:tcPr>
          <w:p>
            <w:pPr>
              <w:widowControl/>
              <w:jc w:val="cente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84" w:type="dxa"/>
            <w:vMerge w:val="continue"/>
            <w:noWrap w:val="0"/>
            <w:vAlign w:val="center"/>
          </w:tcPr>
          <w:p>
            <w:pPr>
              <w:widowControl/>
              <w:jc w:val="center"/>
            </w:pPr>
          </w:p>
        </w:tc>
        <w:tc>
          <w:tcPr>
            <w:tcW w:w="2268" w:type="dxa"/>
            <w:noWrap w:val="0"/>
            <w:vAlign w:val="center"/>
          </w:tcPr>
          <w:p>
            <w:pPr>
              <w:jc w:val="center"/>
            </w:pPr>
            <w:r>
              <w:t>第4次</w:t>
            </w:r>
          </w:p>
        </w:tc>
        <w:tc>
          <w:tcPr>
            <w:tcW w:w="3047" w:type="dxa"/>
            <w:noWrap w:val="0"/>
            <w:vAlign w:val="center"/>
          </w:tcPr>
          <w:p>
            <w:pPr>
              <w:jc w:val="center"/>
              <w:rPr>
                <w:rFonts w:hint="default" w:eastAsia="宋体"/>
                <w:lang w:val="en-US" w:eastAsia="zh-CN"/>
              </w:rPr>
            </w:pPr>
            <w:r>
              <w:rPr>
                <w:rFonts w:hint="eastAsia"/>
              </w:rPr>
              <w:t>0.</w:t>
            </w:r>
            <w:r>
              <w:rPr>
                <w:rFonts w:hint="eastAsia"/>
                <w:lang w:val="en-US" w:eastAsia="zh-CN"/>
              </w:rPr>
              <w:t>55</w:t>
            </w:r>
          </w:p>
        </w:tc>
        <w:tc>
          <w:tcPr>
            <w:tcW w:w="3048" w:type="dxa"/>
            <w:gridSpan w:val="2"/>
            <w:noWrap w:val="0"/>
            <w:vAlign w:val="center"/>
          </w:tcPr>
          <w:p>
            <w:pPr>
              <w:jc w:val="center"/>
              <w:rPr>
                <w:rFonts w:hint="eastAsia" w:eastAsia="宋体"/>
                <w:lang w:val="en-US" w:eastAsia="zh-CN"/>
              </w:rPr>
            </w:pPr>
            <w:r>
              <w:rPr>
                <w:rFonts w:hint="eastAsia"/>
              </w:rPr>
              <w:t>0.7</w:t>
            </w:r>
            <w:r>
              <w:rPr>
                <w:rFonts w:hint="eastAsia"/>
                <w:lang w:val="en-US" w:eastAsia="zh-CN"/>
              </w:rPr>
              <w:t>6</w:t>
            </w:r>
          </w:p>
        </w:tc>
        <w:tc>
          <w:tcPr>
            <w:tcW w:w="1701" w:type="dxa"/>
            <w:vMerge w:val="continue"/>
            <w:noWrap w:val="0"/>
            <w:vAlign w:val="center"/>
          </w:tcPr>
          <w:p>
            <w:pPr>
              <w:spacing w:line="240" w:lineRule="atLeast"/>
              <w:jc w:val="center"/>
            </w:pPr>
          </w:p>
        </w:tc>
        <w:tc>
          <w:tcPr>
            <w:tcW w:w="1730" w:type="dxa"/>
            <w:vMerge w:val="continue"/>
            <w:noWrap w:val="0"/>
            <w:vAlign w:val="center"/>
          </w:tcPr>
          <w:p>
            <w:pPr>
              <w:widowControl/>
              <w:jc w:val="center"/>
            </w:pPr>
          </w:p>
        </w:tc>
      </w:tr>
    </w:tbl>
    <w:p>
      <w:pPr>
        <w:rPr>
          <w:sz w:val="24"/>
          <w:szCs w:val="24"/>
          <w:highlight w:val="yellow"/>
        </w:rPr>
      </w:pPr>
    </w:p>
    <w:p>
      <w:pPr>
        <w:spacing w:line="360" w:lineRule="auto"/>
        <w:ind w:firstLine="480" w:firstLineChars="200"/>
        <w:rPr>
          <w:color w:val="auto"/>
          <w:sz w:val="24"/>
          <w:szCs w:val="24"/>
        </w:rPr>
      </w:pPr>
      <w:r>
        <w:rPr>
          <w:rFonts w:hint="eastAsia"/>
          <w:color w:val="000000" w:themeColor="text1"/>
          <w:sz w:val="24"/>
          <w:szCs w:val="24"/>
          <w14:textFill>
            <w14:solidFill>
              <w14:schemeClr w14:val="tx1"/>
            </w14:solidFill>
          </w14:textFill>
        </w:rPr>
        <w:t>监测结果表明：</w:t>
      </w:r>
      <w:bookmarkStart w:id="91" w:name="_Hlk171416719"/>
      <w:bookmarkStart w:id="92" w:name="_Hlk142300995"/>
      <w:r>
        <w:rPr>
          <w:rFonts w:hint="eastAsia"/>
          <w:color w:val="000000" w:themeColor="text1"/>
          <w:sz w:val="24"/>
          <w:szCs w:val="24"/>
          <w14:textFill>
            <w14:solidFill>
              <w14:schemeClr w14:val="tx1"/>
            </w14:solidFill>
          </w14:textFill>
        </w:rPr>
        <w:t>厂界无组织排放废气两天最大实测浓度分别为氯气0.09mg/m³、氯化氢0.</w:t>
      </w:r>
      <w:r>
        <w:rPr>
          <w:rFonts w:hint="eastAsia"/>
          <w:color w:val="000000" w:themeColor="text1"/>
          <w:sz w:val="24"/>
          <w:szCs w:val="24"/>
          <w:lang w:val="en-US" w:eastAsia="zh-CN"/>
          <w14:textFill>
            <w14:solidFill>
              <w14:schemeClr w14:val="tx1"/>
            </w14:solidFill>
          </w14:textFill>
        </w:rPr>
        <w:t>1</w:t>
      </w:r>
      <w:r>
        <w:rPr>
          <w:rFonts w:hint="eastAsia"/>
          <w:color w:val="000000" w:themeColor="text1"/>
          <w:sz w:val="24"/>
          <w:szCs w:val="24"/>
          <w14:textFill>
            <w14:solidFill>
              <w14:schemeClr w14:val="tx1"/>
            </w14:solidFill>
          </w14:textFill>
        </w:rPr>
        <w:t>7mg/m</w:t>
      </w:r>
      <w:r>
        <w:rPr>
          <w:rFonts w:hint="eastAsia"/>
          <w:color w:val="000000" w:themeColor="text1"/>
          <w:sz w:val="24"/>
          <w:szCs w:val="24"/>
          <w:vertAlign w:val="superscript"/>
          <w14:textFill>
            <w14:solidFill>
              <w14:schemeClr w14:val="tx1"/>
            </w14:solidFill>
          </w14:textFill>
        </w:rPr>
        <w:t>3</w:t>
      </w:r>
      <w:r>
        <w:rPr>
          <w:rFonts w:hint="eastAsia"/>
          <w:color w:val="000000" w:themeColor="text1"/>
          <w:sz w:val="24"/>
          <w:szCs w:val="24"/>
          <w14:textFill>
            <w14:solidFill>
              <w14:schemeClr w14:val="tx1"/>
            </w14:solidFill>
          </w14:textFill>
        </w:rPr>
        <w:t>、VOCs（以非甲烷总烃计）1.08mg/m</w:t>
      </w:r>
      <w:r>
        <w:rPr>
          <w:rFonts w:hint="eastAsia"/>
          <w:color w:val="000000" w:themeColor="text1"/>
          <w:sz w:val="24"/>
          <w:szCs w:val="24"/>
          <w:vertAlign w:val="superscript"/>
          <w14:textFill>
            <w14:solidFill>
              <w14:schemeClr w14:val="tx1"/>
            </w14:solidFill>
          </w14:textFill>
        </w:rPr>
        <w:t>3</w:t>
      </w:r>
      <w:r>
        <w:rPr>
          <w:rFonts w:hint="eastAsia"/>
          <w:color w:val="000000" w:themeColor="text1"/>
          <w:sz w:val="24"/>
          <w:szCs w:val="24"/>
          <w14:textFill>
            <w14:solidFill>
              <w14:schemeClr w14:val="tx1"/>
            </w14:solidFill>
          </w14:textFill>
        </w:rPr>
        <w:t>，氯气满足《大气污染物综合排放标准》 (GB16297-1996)表2中厂界浓度限值要求；氯化氢满足《石油化学工业污染物排放标准》(GB31571-2015) 表7要求</w:t>
      </w:r>
      <w:r>
        <w:rPr>
          <w:rFonts w:hint="eastAsia"/>
          <w:color w:val="auto"/>
          <w:sz w:val="24"/>
          <w:szCs w:val="24"/>
        </w:rPr>
        <w:t>；</w:t>
      </w:r>
      <w:bookmarkEnd w:id="91"/>
      <w:r>
        <w:rPr>
          <w:rFonts w:hint="eastAsia"/>
          <w:sz w:val="24"/>
          <w:szCs w:val="24"/>
        </w:rPr>
        <w:t>装置区VOCs（以非甲烷总烃计）两天最大实测浓度为0.</w:t>
      </w:r>
      <w:r>
        <w:rPr>
          <w:rFonts w:hint="eastAsia"/>
          <w:sz w:val="24"/>
          <w:szCs w:val="24"/>
          <w:lang w:val="en-US" w:eastAsia="zh-CN"/>
        </w:rPr>
        <w:t>7</w:t>
      </w:r>
      <w:r>
        <w:rPr>
          <w:rFonts w:hint="eastAsia"/>
          <w:sz w:val="24"/>
          <w:szCs w:val="24"/>
        </w:rPr>
        <w:t>6</w:t>
      </w:r>
      <w:r>
        <w:rPr>
          <w:sz w:val="24"/>
          <w:szCs w:val="24"/>
        </w:rPr>
        <w:t>mg/</w:t>
      </w:r>
      <w:r>
        <w:rPr>
          <w:rFonts w:hint="eastAsia"/>
          <w:sz w:val="24"/>
          <w:szCs w:val="24"/>
        </w:rPr>
        <w:t>m</w:t>
      </w:r>
      <w:r>
        <w:rPr>
          <w:sz w:val="24"/>
          <w:szCs w:val="24"/>
          <w:vertAlign w:val="superscript"/>
        </w:rPr>
        <w:t>3</w:t>
      </w:r>
      <w:r>
        <w:rPr>
          <w:rFonts w:hint="eastAsia"/>
          <w:sz w:val="24"/>
          <w:szCs w:val="24"/>
          <w:vertAlign w:val="baseline"/>
          <w:lang w:eastAsia="zh-CN"/>
        </w:rPr>
        <w:t>，</w:t>
      </w:r>
      <w:r>
        <w:rPr>
          <w:rFonts w:hint="eastAsia"/>
          <w:sz w:val="24"/>
          <w:szCs w:val="24"/>
        </w:rPr>
        <w:t>满足厂区内VOCs无组织排放满足《挥发性有机物无组织排放控制标准》（GB37822-2019）中相关标准</w:t>
      </w:r>
      <w:r>
        <w:rPr>
          <w:rFonts w:hint="eastAsia"/>
          <w:color w:val="auto"/>
          <w:sz w:val="24"/>
          <w:szCs w:val="24"/>
        </w:rPr>
        <w:t>。</w:t>
      </w:r>
    </w:p>
    <w:bookmarkEnd w:id="92"/>
    <w:p>
      <w:pPr>
        <w:tabs>
          <w:tab w:val="left" w:pos="3267"/>
        </w:tabs>
        <w:rPr>
          <w:color w:val="auto"/>
          <w:sz w:val="24"/>
          <w:szCs w:val="24"/>
        </w:rPr>
        <w:sectPr>
          <w:footerReference r:id="rId17" w:type="default"/>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11"/>
      </w:pPr>
      <w:bookmarkStart w:id="93" w:name="_Toc12121"/>
      <w:bookmarkStart w:id="94" w:name="_Toc1544044"/>
      <w:r>
        <w:t>9.2.</w:t>
      </w:r>
      <w:r>
        <w:rPr>
          <w:rFonts w:hint="eastAsia"/>
        </w:rPr>
        <w:t>3</w:t>
      </w:r>
      <w:r>
        <w:t>噪声排放监测结果</w:t>
      </w:r>
      <w:bookmarkEnd w:id="93"/>
      <w:bookmarkEnd w:id="94"/>
    </w:p>
    <w:p>
      <w:pPr>
        <w:spacing w:line="360" w:lineRule="auto"/>
        <w:contextualSpacing/>
        <w:rPr>
          <w:b/>
          <w:sz w:val="24"/>
          <w:szCs w:val="24"/>
        </w:rPr>
      </w:pPr>
      <w:r>
        <w:rPr>
          <w:b/>
          <w:sz w:val="24"/>
          <w:szCs w:val="24"/>
        </w:rPr>
        <w:t>9.2.</w:t>
      </w:r>
      <w:r>
        <w:rPr>
          <w:rFonts w:hint="eastAsia"/>
          <w:b/>
          <w:sz w:val="24"/>
          <w:szCs w:val="24"/>
        </w:rPr>
        <w:t>3.</w:t>
      </w:r>
      <w:r>
        <w:rPr>
          <w:b/>
          <w:sz w:val="24"/>
          <w:szCs w:val="24"/>
        </w:rPr>
        <w:t>1噪声排放监测结果</w:t>
      </w:r>
    </w:p>
    <w:p>
      <w:pPr>
        <w:spacing w:line="360" w:lineRule="auto"/>
        <w:ind w:firstLine="480" w:firstLineChars="200"/>
        <w:contextualSpacing/>
        <w:rPr>
          <w:b/>
          <w:bCs/>
        </w:rPr>
      </w:pPr>
      <w:r>
        <w:rPr>
          <w:sz w:val="24"/>
          <w:szCs w:val="24"/>
        </w:rPr>
        <w:t>噪声监测结果见表9.2-</w:t>
      </w:r>
      <w:r>
        <w:rPr>
          <w:rFonts w:hint="eastAsia"/>
          <w:sz w:val="24"/>
          <w:szCs w:val="24"/>
        </w:rPr>
        <w:t>4</w:t>
      </w:r>
      <w:r>
        <w:rPr>
          <w:sz w:val="24"/>
          <w:szCs w:val="24"/>
        </w:rPr>
        <w:t>。</w:t>
      </w:r>
    </w:p>
    <w:p>
      <w:pPr>
        <w:spacing w:line="360" w:lineRule="auto"/>
        <w:jc w:val="center"/>
        <w:rPr>
          <w:b/>
          <w:bCs/>
        </w:rPr>
      </w:pPr>
      <w:r>
        <w:rPr>
          <w:b/>
          <w:bCs/>
        </w:rPr>
        <w:t>表9.2-</w:t>
      </w:r>
      <w:r>
        <w:rPr>
          <w:rFonts w:hint="eastAsia"/>
          <w:b/>
          <w:bCs/>
        </w:rPr>
        <w:t>4</w:t>
      </w:r>
      <w:r>
        <w:rPr>
          <w:b/>
          <w:bCs/>
        </w:rPr>
        <w:t xml:space="preserve"> 噪声监测结果统计表</w:t>
      </w:r>
    </w:p>
    <w:tbl>
      <w:tblPr>
        <w:tblStyle w:val="39"/>
        <w:tblW w:w="866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75"/>
        <w:gridCol w:w="708"/>
        <w:gridCol w:w="848"/>
        <w:gridCol w:w="848"/>
        <w:gridCol w:w="848"/>
        <w:gridCol w:w="849"/>
        <w:gridCol w:w="848"/>
        <w:gridCol w:w="848"/>
        <w:gridCol w:w="848"/>
        <w:gridCol w:w="84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175" w:type="dxa"/>
            <w:tcBorders>
              <w:tl2br w:val="nil"/>
              <w:tr2bl w:val="nil"/>
            </w:tcBorders>
            <w:vAlign w:val="center"/>
          </w:tcPr>
          <w:p>
            <w:pPr>
              <w:spacing w:line="360" w:lineRule="auto"/>
              <w:contextualSpacing/>
              <w:jc w:val="center"/>
              <w:rPr>
                <w:b/>
              </w:rPr>
            </w:pPr>
            <w:r>
              <w:rPr>
                <w:b/>
              </w:rPr>
              <w:t>监测时间</w:t>
            </w: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p>
            <w:pPr>
              <w:spacing w:line="360" w:lineRule="auto"/>
              <w:contextualSpacing/>
              <w:jc w:val="center"/>
              <w:rPr>
                <w:b/>
              </w:rPr>
            </w:pPr>
          </w:p>
        </w:tc>
        <w:tc>
          <w:tcPr>
            <w:tcW w:w="708" w:type="dxa"/>
            <w:tcBorders>
              <w:tl2br w:val="nil"/>
              <w:tr2bl w:val="nil"/>
            </w:tcBorders>
            <w:vAlign w:val="center"/>
          </w:tcPr>
          <w:p>
            <w:pPr>
              <w:spacing w:line="360" w:lineRule="auto"/>
              <w:contextualSpacing/>
              <w:jc w:val="center"/>
              <w:rPr>
                <w:b/>
              </w:rPr>
            </w:pPr>
            <w:r>
              <w:rPr>
                <w:b/>
              </w:rPr>
              <w:t>项目</w:t>
            </w:r>
          </w:p>
        </w:tc>
        <w:tc>
          <w:tcPr>
            <w:tcW w:w="3393" w:type="dxa"/>
            <w:gridSpan w:val="4"/>
            <w:tcBorders>
              <w:tl2br w:val="nil"/>
              <w:tr2bl w:val="nil"/>
            </w:tcBorders>
            <w:vAlign w:val="center"/>
          </w:tcPr>
          <w:p>
            <w:pPr>
              <w:spacing w:line="360" w:lineRule="auto"/>
              <w:contextualSpacing/>
              <w:jc w:val="center"/>
              <w:rPr>
                <w:b/>
              </w:rPr>
            </w:pPr>
            <w:r>
              <w:rPr>
                <w:b/>
              </w:rPr>
              <w:t>昼间噪声dB(A)</w:t>
            </w:r>
          </w:p>
        </w:tc>
        <w:tc>
          <w:tcPr>
            <w:tcW w:w="3393" w:type="dxa"/>
            <w:gridSpan w:val="4"/>
            <w:tcBorders>
              <w:tl2br w:val="nil"/>
              <w:tr2bl w:val="nil"/>
            </w:tcBorders>
            <w:vAlign w:val="center"/>
          </w:tcPr>
          <w:p>
            <w:pPr>
              <w:spacing w:line="360" w:lineRule="auto"/>
              <w:contextualSpacing/>
              <w:jc w:val="center"/>
              <w:rPr>
                <w:b/>
              </w:rPr>
            </w:pPr>
            <w:r>
              <w:rPr>
                <w:b/>
              </w:rPr>
              <w:t>夜间噪声dB(A)</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5" w:type="dxa"/>
            <w:tcBorders>
              <w:tl2br w:val="nil"/>
              <w:tr2bl w:val="nil"/>
            </w:tcBorders>
            <w:shd w:val="clear" w:color="auto" w:fill="auto"/>
            <w:vAlign w:val="center"/>
          </w:tcPr>
          <w:p>
            <w:pPr>
              <w:spacing w:line="360" w:lineRule="auto"/>
              <w:contextualSpacing/>
              <w:jc w:val="center"/>
            </w:pPr>
            <w:r>
              <w:t>/</w:t>
            </w:r>
          </w:p>
        </w:tc>
        <w:tc>
          <w:tcPr>
            <w:tcW w:w="708" w:type="dxa"/>
            <w:tcBorders>
              <w:tl2br w:val="nil"/>
              <w:tr2bl w:val="nil"/>
            </w:tcBorders>
            <w:vAlign w:val="center"/>
          </w:tcPr>
          <w:p>
            <w:pPr>
              <w:spacing w:line="360" w:lineRule="auto"/>
              <w:contextualSpacing/>
              <w:jc w:val="center"/>
            </w:pPr>
            <w:r>
              <w:t>点位</w:t>
            </w:r>
          </w:p>
        </w:tc>
        <w:tc>
          <w:tcPr>
            <w:tcW w:w="848" w:type="dxa"/>
            <w:tcBorders>
              <w:tl2br w:val="nil"/>
              <w:tr2bl w:val="nil"/>
            </w:tcBorders>
            <w:vAlign w:val="center"/>
          </w:tcPr>
          <w:p>
            <w:pPr>
              <w:spacing w:line="360" w:lineRule="auto"/>
              <w:contextualSpacing/>
              <w:jc w:val="center"/>
            </w:pPr>
            <w:r>
              <w:t>1#（东）</w:t>
            </w:r>
          </w:p>
        </w:tc>
        <w:tc>
          <w:tcPr>
            <w:tcW w:w="848" w:type="dxa"/>
            <w:tcBorders>
              <w:tl2br w:val="nil"/>
              <w:tr2bl w:val="nil"/>
            </w:tcBorders>
            <w:vAlign w:val="center"/>
          </w:tcPr>
          <w:p>
            <w:pPr>
              <w:spacing w:line="360" w:lineRule="auto"/>
              <w:contextualSpacing/>
              <w:jc w:val="center"/>
            </w:pPr>
            <w:r>
              <w:t>2#（南）</w:t>
            </w:r>
          </w:p>
        </w:tc>
        <w:tc>
          <w:tcPr>
            <w:tcW w:w="848" w:type="dxa"/>
            <w:tcBorders>
              <w:tl2br w:val="nil"/>
              <w:tr2bl w:val="nil"/>
            </w:tcBorders>
            <w:vAlign w:val="center"/>
          </w:tcPr>
          <w:p>
            <w:pPr>
              <w:spacing w:line="360" w:lineRule="auto"/>
              <w:contextualSpacing/>
              <w:jc w:val="center"/>
            </w:pPr>
            <w:r>
              <w:t>3#（西）</w:t>
            </w:r>
          </w:p>
        </w:tc>
        <w:tc>
          <w:tcPr>
            <w:tcW w:w="849" w:type="dxa"/>
            <w:tcBorders>
              <w:tl2br w:val="nil"/>
              <w:tr2bl w:val="nil"/>
            </w:tcBorders>
            <w:vAlign w:val="center"/>
          </w:tcPr>
          <w:p>
            <w:pPr>
              <w:spacing w:line="360" w:lineRule="auto"/>
              <w:contextualSpacing/>
              <w:jc w:val="center"/>
            </w:pPr>
            <w:r>
              <w:t>4#（北）</w:t>
            </w:r>
          </w:p>
        </w:tc>
        <w:tc>
          <w:tcPr>
            <w:tcW w:w="848" w:type="dxa"/>
            <w:tcBorders>
              <w:tl2br w:val="nil"/>
              <w:tr2bl w:val="nil"/>
            </w:tcBorders>
            <w:vAlign w:val="center"/>
          </w:tcPr>
          <w:p>
            <w:pPr>
              <w:spacing w:line="360" w:lineRule="auto"/>
              <w:contextualSpacing/>
              <w:jc w:val="center"/>
            </w:pPr>
            <w:r>
              <w:t>1#（东）</w:t>
            </w:r>
          </w:p>
        </w:tc>
        <w:tc>
          <w:tcPr>
            <w:tcW w:w="848" w:type="dxa"/>
            <w:tcBorders>
              <w:tl2br w:val="nil"/>
              <w:tr2bl w:val="nil"/>
            </w:tcBorders>
            <w:vAlign w:val="center"/>
          </w:tcPr>
          <w:p>
            <w:pPr>
              <w:spacing w:line="360" w:lineRule="auto"/>
              <w:contextualSpacing/>
              <w:jc w:val="center"/>
            </w:pPr>
            <w:r>
              <w:t>2#（南）</w:t>
            </w:r>
          </w:p>
        </w:tc>
        <w:tc>
          <w:tcPr>
            <w:tcW w:w="848" w:type="dxa"/>
            <w:tcBorders>
              <w:tl2br w:val="nil"/>
              <w:tr2bl w:val="nil"/>
            </w:tcBorders>
            <w:vAlign w:val="center"/>
          </w:tcPr>
          <w:p>
            <w:pPr>
              <w:spacing w:line="360" w:lineRule="auto"/>
              <w:contextualSpacing/>
              <w:jc w:val="center"/>
            </w:pPr>
            <w:r>
              <w:t>3#（西）</w:t>
            </w:r>
          </w:p>
        </w:tc>
        <w:tc>
          <w:tcPr>
            <w:tcW w:w="849" w:type="dxa"/>
            <w:tcBorders>
              <w:tl2br w:val="nil"/>
              <w:tr2bl w:val="nil"/>
            </w:tcBorders>
            <w:vAlign w:val="center"/>
          </w:tcPr>
          <w:p>
            <w:pPr>
              <w:spacing w:line="360" w:lineRule="auto"/>
              <w:contextualSpacing/>
              <w:jc w:val="center"/>
            </w:pPr>
            <w:r>
              <w:t>4#（北）</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5" w:type="dxa"/>
            <w:tcBorders>
              <w:tl2br w:val="nil"/>
              <w:tr2bl w:val="nil"/>
            </w:tcBorders>
            <w:shd w:val="clear" w:color="auto" w:fill="auto"/>
            <w:vAlign w:val="center"/>
          </w:tcPr>
          <w:p>
            <w:pPr>
              <w:spacing w:line="360" w:lineRule="auto"/>
              <w:contextualSpacing/>
              <w:jc w:val="center"/>
            </w:pPr>
            <w:r>
              <w:rPr>
                <w:rFonts w:hint="eastAsia"/>
              </w:rPr>
              <w:t>2024.6.13</w:t>
            </w:r>
          </w:p>
        </w:tc>
        <w:tc>
          <w:tcPr>
            <w:tcW w:w="708" w:type="dxa"/>
            <w:tcBorders>
              <w:tl2br w:val="nil"/>
              <w:tr2bl w:val="nil"/>
            </w:tcBorders>
            <w:vAlign w:val="center"/>
          </w:tcPr>
          <w:p>
            <w:pPr>
              <w:spacing w:line="360" w:lineRule="auto"/>
              <w:contextualSpacing/>
              <w:jc w:val="center"/>
            </w:pPr>
            <w:r>
              <w:t>结果</w:t>
            </w:r>
          </w:p>
        </w:tc>
        <w:tc>
          <w:tcPr>
            <w:tcW w:w="848" w:type="dxa"/>
            <w:tcBorders>
              <w:tl2br w:val="nil"/>
              <w:tr2bl w:val="nil"/>
            </w:tcBorders>
            <w:vAlign w:val="center"/>
          </w:tcPr>
          <w:p>
            <w:pPr>
              <w:spacing w:line="360" w:lineRule="auto"/>
              <w:contextualSpacing/>
              <w:jc w:val="center"/>
            </w:pPr>
            <w:r>
              <w:rPr>
                <w:rFonts w:hint="eastAsia"/>
              </w:rPr>
              <w:t>54</w:t>
            </w:r>
          </w:p>
        </w:tc>
        <w:tc>
          <w:tcPr>
            <w:tcW w:w="848" w:type="dxa"/>
            <w:tcBorders>
              <w:tl2br w:val="nil"/>
              <w:tr2bl w:val="nil"/>
            </w:tcBorders>
            <w:vAlign w:val="center"/>
          </w:tcPr>
          <w:p>
            <w:pPr>
              <w:spacing w:line="360" w:lineRule="auto"/>
              <w:contextualSpacing/>
              <w:jc w:val="center"/>
            </w:pPr>
            <w:r>
              <w:rPr>
                <w:rFonts w:hint="eastAsia"/>
              </w:rPr>
              <w:t>54</w:t>
            </w:r>
          </w:p>
        </w:tc>
        <w:tc>
          <w:tcPr>
            <w:tcW w:w="848" w:type="dxa"/>
            <w:tcBorders>
              <w:tl2br w:val="nil"/>
              <w:tr2bl w:val="nil"/>
            </w:tcBorders>
            <w:vAlign w:val="center"/>
          </w:tcPr>
          <w:p>
            <w:pPr>
              <w:spacing w:line="360" w:lineRule="auto"/>
              <w:contextualSpacing/>
              <w:jc w:val="center"/>
            </w:pPr>
            <w:r>
              <w:rPr>
                <w:rFonts w:hint="eastAsia"/>
              </w:rPr>
              <w:t>57</w:t>
            </w:r>
          </w:p>
        </w:tc>
        <w:tc>
          <w:tcPr>
            <w:tcW w:w="849" w:type="dxa"/>
            <w:tcBorders>
              <w:tl2br w:val="nil"/>
              <w:tr2bl w:val="nil"/>
            </w:tcBorders>
            <w:vAlign w:val="center"/>
          </w:tcPr>
          <w:p>
            <w:pPr>
              <w:spacing w:line="360" w:lineRule="auto"/>
              <w:contextualSpacing/>
              <w:jc w:val="center"/>
            </w:pPr>
            <w:r>
              <w:rPr>
                <w:rFonts w:hint="eastAsia"/>
              </w:rPr>
              <w:t>58</w:t>
            </w:r>
          </w:p>
        </w:tc>
        <w:tc>
          <w:tcPr>
            <w:tcW w:w="848" w:type="dxa"/>
            <w:tcBorders>
              <w:tl2br w:val="nil"/>
              <w:tr2bl w:val="nil"/>
            </w:tcBorders>
            <w:vAlign w:val="center"/>
          </w:tcPr>
          <w:p>
            <w:pPr>
              <w:spacing w:line="360" w:lineRule="auto"/>
              <w:contextualSpacing/>
              <w:jc w:val="center"/>
            </w:pPr>
            <w:r>
              <w:rPr>
                <w:rFonts w:hint="eastAsia"/>
              </w:rPr>
              <w:t>45</w:t>
            </w:r>
          </w:p>
        </w:tc>
        <w:tc>
          <w:tcPr>
            <w:tcW w:w="848" w:type="dxa"/>
            <w:tcBorders>
              <w:tl2br w:val="nil"/>
              <w:tr2bl w:val="nil"/>
            </w:tcBorders>
            <w:vAlign w:val="center"/>
          </w:tcPr>
          <w:p>
            <w:pPr>
              <w:spacing w:line="360" w:lineRule="auto"/>
              <w:contextualSpacing/>
              <w:jc w:val="center"/>
            </w:pPr>
            <w:r>
              <w:rPr>
                <w:rFonts w:hint="eastAsia"/>
              </w:rPr>
              <w:t>45</w:t>
            </w:r>
          </w:p>
        </w:tc>
        <w:tc>
          <w:tcPr>
            <w:tcW w:w="848" w:type="dxa"/>
            <w:tcBorders>
              <w:tl2br w:val="nil"/>
              <w:tr2bl w:val="nil"/>
            </w:tcBorders>
            <w:vAlign w:val="center"/>
          </w:tcPr>
          <w:p>
            <w:pPr>
              <w:spacing w:line="360" w:lineRule="auto"/>
              <w:contextualSpacing/>
              <w:jc w:val="center"/>
            </w:pPr>
            <w:r>
              <w:rPr>
                <w:rFonts w:hint="eastAsia"/>
              </w:rPr>
              <w:t>44</w:t>
            </w:r>
          </w:p>
        </w:tc>
        <w:tc>
          <w:tcPr>
            <w:tcW w:w="849" w:type="dxa"/>
            <w:tcBorders>
              <w:tl2br w:val="nil"/>
              <w:tr2bl w:val="nil"/>
            </w:tcBorders>
            <w:vAlign w:val="center"/>
          </w:tcPr>
          <w:p>
            <w:pPr>
              <w:spacing w:line="360" w:lineRule="auto"/>
              <w:contextualSpacing/>
              <w:jc w:val="center"/>
            </w:pPr>
            <w:r>
              <w:rPr>
                <w:rFonts w:hint="eastAsia"/>
              </w:rPr>
              <w:t>43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5" w:type="dxa"/>
            <w:tcBorders>
              <w:tl2br w:val="nil"/>
              <w:tr2bl w:val="nil"/>
            </w:tcBorders>
            <w:vAlign w:val="center"/>
          </w:tcPr>
          <w:p>
            <w:pPr>
              <w:spacing w:line="360" w:lineRule="auto"/>
              <w:contextualSpacing/>
              <w:jc w:val="center"/>
            </w:pPr>
            <w:r>
              <w:rPr>
                <w:rFonts w:hint="eastAsia"/>
              </w:rPr>
              <w:t>2024.6.15</w:t>
            </w:r>
          </w:p>
        </w:tc>
        <w:tc>
          <w:tcPr>
            <w:tcW w:w="708" w:type="dxa"/>
            <w:tcBorders>
              <w:tl2br w:val="nil"/>
              <w:tr2bl w:val="nil"/>
            </w:tcBorders>
            <w:vAlign w:val="center"/>
          </w:tcPr>
          <w:p>
            <w:pPr>
              <w:spacing w:line="360" w:lineRule="auto"/>
              <w:contextualSpacing/>
              <w:jc w:val="center"/>
            </w:pPr>
            <w:r>
              <w:t>结果</w:t>
            </w:r>
          </w:p>
        </w:tc>
        <w:tc>
          <w:tcPr>
            <w:tcW w:w="848" w:type="dxa"/>
            <w:tcBorders>
              <w:tl2br w:val="nil"/>
              <w:tr2bl w:val="nil"/>
            </w:tcBorders>
            <w:vAlign w:val="center"/>
          </w:tcPr>
          <w:p>
            <w:pPr>
              <w:spacing w:line="360" w:lineRule="auto"/>
              <w:contextualSpacing/>
              <w:jc w:val="center"/>
            </w:pPr>
            <w:r>
              <w:rPr>
                <w:rFonts w:hint="eastAsia"/>
              </w:rPr>
              <w:t>57</w:t>
            </w:r>
          </w:p>
        </w:tc>
        <w:tc>
          <w:tcPr>
            <w:tcW w:w="848" w:type="dxa"/>
            <w:tcBorders>
              <w:tl2br w:val="nil"/>
              <w:tr2bl w:val="nil"/>
            </w:tcBorders>
            <w:vAlign w:val="center"/>
          </w:tcPr>
          <w:p>
            <w:pPr>
              <w:spacing w:line="360" w:lineRule="auto"/>
              <w:contextualSpacing/>
              <w:jc w:val="center"/>
            </w:pPr>
            <w:r>
              <w:rPr>
                <w:rFonts w:hint="eastAsia"/>
              </w:rPr>
              <w:t>56</w:t>
            </w:r>
          </w:p>
        </w:tc>
        <w:tc>
          <w:tcPr>
            <w:tcW w:w="848" w:type="dxa"/>
            <w:tcBorders>
              <w:tl2br w:val="nil"/>
              <w:tr2bl w:val="nil"/>
            </w:tcBorders>
            <w:vAlign w:val="center"/>
          </w:tcPr>
          <w:p>
            <w:pPr>
              <w:spacing w:line="360" w:lineRule="auto"/>
              <w:contextualSpacing/>
              <w:jc w:val="center"/>
            </w:pPr>
            <w:r>
              <w:rPr>
                <w:rFonts w:hint="eastAsia"/>
              </w:rPr>
              <w:t>52</w:t>
            </w:r>
          </w:p>
        </w:tc>
        <w:tc>
          <w:tcPr>
            <w:tcW w:w="849" w:type="dxa"/>
            <w:tcBorders>
              <w:tl2br w:val="nil"/>
              <w:tr2bl w:val="nil"/>
            </w:tcBorders>
            <w:vAlign w:val="center"/>
          </w:tcPr>
          <w:p>
            <w:pPr>
              <w:spacing w:line="360" w:lineRule="auto"/>
              <w:contextualSpacing/>
              <w:jc w:val="center"/>
            </w:pPr>
            <w:r>
              <w:rPr>
                <w:rFonts w:hint="eastAsia"/>
              </w:rPr>
              <w:t>51</w:t>
            </w:r>
          </w:p>
        </w:tc>
        <w:tc>
          <w:tcPr>
            <w:tcW w:w="848" w:type="dxa"/>
            <w:tcBorders>
              <w:tl2br w:val="nil"/>
              <w:tr2bl w:val="nil"/>
            </w:tcBorders>
            <w:vAlign w:val="center"/>
          </w:tcPr>
          <w:p>
            <w:pPr>
              <w:spacing w:line="360" w:lineRule="auto"/>
              <w:contextualSpacing/>
              <w:jc w:val="center"/>
            </w:pPr>
            <w:r>
              <w:rPr>
                <w:rFonts w:hint="eastAsia"/>
              </w:rPr>
              <w:t>49</w:t>
            </w:r>
          </w:p>
        </w:tc>
        <w:tc>
          <w:tcPr>
            <w:tcW w:w="848" w:type="dxa"/>
            <w:tcBorders>
              <w:tl2br w:val="nil"/>
              <w:tr2bl w:val="nil"/>
            </w:tcBorders>
            <w:vAlign w:val="center"/>
          </w:tcPr>
          <w:p>
            <w:pPr>
              <w:spacing w:line="360" w:lineRule="auto"/>
              <w:contextualSpacing/>
              <w:jc w:val="center"/>
            </w:pPr>
            <w:r>
              <w:rPr>
                <w:rFonts w:hint="eastAsia"/>
              </w:rPr>
              <w:t>46</w:t>
            </w:r>
          </w:p>
        </w:tc>
        <w:tc>
          <w:tcPr>
            <w:tcW w:w="848" w:type="dxa"/>
            <w:tcBorders>
              <w:tl2br w:val="nil"/>
              <w:tr2bl w:val="nil"/>
            </w:tcBorders>
            <w:vAlign w:val="center"/>
          </w:tcPr>
          <w:p>
            <w:pPr>
              <w:spacing w:line="360" w:lineRule="auto"/>
              <w:contextualSpacing/>
              <w:jc w:val="center"/>
            </w:pPr>
            <w:r>
              <w:rPr>
                <w:rFonts w:hint="eastAsia"/>
              </w:rPr>
              <w:t>44</w:t>
            </w:r>
          </w:p>
        </w:tc>
        <w:tc>
          <w:tcPr>
            <w:tcW w:w="849" w:type="dxa"/>
            <w:tcBorders>
              <w:tl2br w:val="nil"/>
              <w:tr2bl w:val="nil"/>
            </w:tcBorders>
            <w:vAlign w:val="center"/>
          </w:tcPr>
          <w:p>
            <w:pPr>
              <w:spacing w:line="360" w:lineRule="auto"/>
              <w:contextualSpacing/>
              <w:jc w:val="center"/>
            </w:pPr>
            <w:r>
              <w:rPr>
                <w:rFonts w:hint="eastAsia"/>
              </w:rPr>
              <w:t>45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5" w:type="dxa"/>
            <w:tcBorders>
              <w:tl2br w:val="nil"/>
              <w:tr2bl w:val="nil"/>
            </w:tcBorders>
            <w:vAlign w:val="center"/>
          </w:tcPr>
          <w:p>
            <w:pPr>
              <w:spacing w:line="360" w:lineRule="auto"/>
              <w:contextualSpacing/>
              <w:jc w:val="center"/>
            </w:pPr>
            <w:r>
              <w:t>/</w:t>
            </w:r>
          </w:p>
        </w:tc>
        <w:tc>
          <w:tcPr>
            <w:tcW w:w="708" w:type="dxa"/>
            <w:tcBorders>
              <w:tl2br w:val="nil"/>
              <w:tr2bl w:val="nil"/>
            </w:tcBorders>
            <w:vAlign w:val="center"/>
          </w:tcPr>
          <w:p>
            <w:pPr>
              <w:spacing w:line="360" w:lineRule="auto"/>
              <w:contextualSpacing/>
              <w:jc w:val="center"/>
            </w:pPr>
            <w:r>
              <w:t>标准</w:t>
            </w:r>
          </w:p>
        </w:tc>
        <w:tc>
          <w:tcPr>
            <w:tcW w:w="848" w:type="dxa"/>
            <w:tcBorders>
              <w:tl2br w:val="nil"/>
              <w:tr2bl w:val="nil"/>
            </w:tcBorders>
            <w:vAlign w:val="center"/>
          </w:tcPr>
          <w:p>
            <w:pPr>
              <w:spacing w:line="360" w:lineRule="auto"/>
              <w:contextualSpacing/>
              <w:jc w:val="center"/>
            </w:pPr>
            <w:r>
              <w:t>65</w:t>
            </w:r>
          </w:p>
        </w:tc>
        <w:tc>
          <w:tcPr>
            <w:tcW w:w="848" w:type="dxa"/>
            <w:tcBorders>
              <w:tl2br w:val="nil"/>
              <w:tr2bl w:val="nil"/>
            </w:tcBorders>
            <w:vAlign w:val="center"/>
          </w:tcPr>
          <w:p>
            <w:pPr>
              <w:spacing w:line="360" w:lineRule="auto"/>
              <w:contextualSpacing/>
              <w:jc w:val="center"/>
            </w:pPr>
            <w:r>
              <w:t>65</w:t>
            </w:r>
          </w:p>
        </w:tc>
        <w:tc>
          <w:tcPr>
            <w:tcW w:w="848" w:type="dxa"/>
            <w:tcBorders>
              <w:tl2br w:val="nil"/>
              <w:tr2bl w:val="nil"/>
            </w:tcBorders>
            <w:vAlign w:val="center"/>
          </w:tcPr>
          <w:p>
            <w:pPr>
              <w:spacing w:line="360" w:lineRule="auto"/>
              <w:contextualSpacing/>
              <w:jc w:val="center"/>
            </w:pPr>
            <w:r>
              <w:t>65</w:t>
            </w:r>
          </w:p>
        </w:tc>
        <w:tc>
          <w:tcPr>
            <w:tcW w:w="849" w:type="dxa"/>
            <w:tcBorders>
              <w:tl2br w:val="nil"/>
              <w:tr2bl w:val="nil"/>
            </w:tcBorders>
            <w:vAlign w:val="center"/>
          </w:tcPr>
          <w:p>
            <w:pPr>
              <w:spacing w:line="360" w:lineRule="auto"/>
              <w:contextualSpacing/>
              <w:jc w:val="center"/>
            </w:pPr>
            <w:r>
              <w:t>65</w:t>
            </w:r>
          </w:p>
        </w:tc>
        <w:tc>
          <w:tcPr>
            <w:tcW w:w="848" w:type="dxa"/>
            <w:tcBorders>
              <w:tl2br w:val="nil"/>
              <w:tr2bl w:val="nil"/>
            </w:tcBorders>
            <w:vAlign w:val="center"/>
          </w:tcPr>
          <w:p>
            <w:pPr>
              <w:spacing w:line="360" w:lineRule="auto"/>
              <w:contextualSpacing/>
              <w:jc w:val="center"/>
            </w:pPr>
            <w:r>
              <w:t>55</w:t>
            </w:r>
          </w:p>
        </w:tc>
        <w:tc>
          <w:tcPr>
            <w:tcW w:w="848" w:type="dxa"/>
            <w:tcBorders>
              <w:tl2br w:val="nil"/>
              <w:tr2bl w:val="nil"/>
            </w:tcBorders>
            <w:vAlign w:val="center"/>
          </w:tcPr>
          <w:p>
            <w:pPr>
              <w:jc w:val="center"/>
            </w:pPr>
            <w:r>
              <w:t>55</w:t>
            </w:r>
          </w:p>
        </w:tc>
        <w:tc>
          <w:tcPr>
            <w:tcW w:w="848" w:type="dxa"/>
            <w:tcBorders>
              <w:tl2br w:val="nil"/>
              <w:tr2bl w:val="nil"/>
            </w:tcBorders>
            <w:vAlign w:val="center"/>
          </w:tcPr>
          <w:p>
            <w:pPr>
              <w:jc w:val="center"/>
            </w:pPr>
            <w:r>
              <w:t>55</w:t>
            </w:r>
          </w:p>
        </w:tc>
        <w:tc>
          <w:tcPr>
            <w:tcW w:w="849" w:type="dxa"/>
            <w:tcBorders>
              <w:tl2br w:val="nil"/>
              <w:tr2bl w:val="nil"/>
            </w:tcBorders>
            <w:vAlign w:val="center"/>
          </w:tcPr>
          <w:p>
            <w:pPr>
              <w:jc w:val="center"/>
            </w:pPr>
            <w:r>
              <w:t>55</w:t>
            </w:r>
          </w:p>
        </w:tc>
      </w:tr>
    </w:tbl>
    <w:p>
      <w:pPr>
        <w:spacing w:line="360" w:lineRule="auto"/>
        <w:contextualSpacing/>
        <w:rPr>
          <w:b/>
          <w:sz w:val="24"/>
          <w:szCs w:val="24"/>
        </w:rPr>
      </w:pPr>
      <w:r>
        <w:drawing>
          <wp:anchor distT="0" distB="0" distL="114300" distR="114300" simplePos="0" relativeHeight="251708416" behindDoc="0" locked="0" layoutInCell="1" allowOverlap="1">
            <wp:simplePos x="0" y="0"/>
            <wp:positionH relativeFrom="column">
              <wp:posOffset>1124585</wp:posOffset>
            </wp:positionH>
            <wp:positionV relativeFrom="paragraph">
              <wp:posOffset>74295</wp:posOffset>
            </wp:positionV>
            <wp:extent cx="2938780" cy="2160270"/>
            <wp:effectExtent l="0" t="0" r="13970" b="11430"/>
            <wp:wrapSquare wrapText="bothSides"/>
            <wp:docPr id="8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
                    <pic:cNvPicPr>
                      <a:picLocks noChangeAspect="1"/>
                    </pic:cNvPicPr>
                  </pic:nvPicPr>
                  <pic:blipFill>
                    <a:blip r:embed="rId56"/>
                    <a:stretch>
                      <a:fillRect/>
                    </a:stretch>
                  </pic:blipFill>
                  <pic:spPr>
                    <a:xfrm>
                      <a:off x="0" y="0"/>
                      <a:ext cx="2938780" cy="2160270"/>
                    </a:xfrm>
                    <a:prstGeom prst="rect">
                      <a:avLst/>
                    </a:prstGeom>
                    <a:noFill/>
                    <a:ln>
                      <a:noFill/>
                    </a:ln>
                  </pic:spPr>
                </pic:pic>
              </a:graphicData>
            </a:graphic>
          </wp:anchor>
        </w:drawing>
      </w:r>
    </w:p>
    <w:p>
      <w:pPr>
        <w:spacing w:line="360" w:lineRule="auto"/>
        <w:contextualSpacing/>
        <w:rPr>
          <w:b/>
          <w:sz w:val="24"/>
          <w:szCs w:val="24"/>
        </w:rPr>
      </w:pPr>
    </w:p>
    <w:p>
      <w:pPr>
        <w:spacing w:line="360" w:lineRule="auto"/>
        <w:contextualSpacing/>
        <w:rPr>
          <w:b/>
          <w:sz w:val="24"/>
          <w:szCs w:val="24"/>
        </w:rPr>
      </w:pPr>
    </w:p>
    <w:p>
      <w:pPr>
        <w:spacing w:line="360" w:lineRule="auto"/>
        <w:contextualSpacing/>
        <w:rPr>
          <w:b/>
          <w:sz w:val="24"/>
          <w:szCs w:val="24"/>
        </w:rPr>
      </w:pPr>
    </w:p>
    <w:p>
      <w:pPr>
        <w:spacing w:line="360" w:lineRule="auto"/>
        <w:contextualSpacing/>
        <w:rPr>
          <w:b/>
          <w:sz w:val="24"/>
          <w:szCs w:val="24"/>
        </w:rPr>
      </w:pPr>
    </w:p>
    <w:p>
      <w:pPr>
        <w:spacing w:line="360" w:lineRule="auto"/>
        <w:contextualSpacing/>
        <w:rPr>
          <w:b/>
          <w:sz w:val="24"/>
          <w:szCs w:val="24"/>
        </w:rPr>
      </w:pPr>
    </w:p>
    <w:p>
      <w:pPr>
        <w:adjustRightInd w:val="0"/>
        <w:snapToGrid w:val="0"/>
        <w:spacing w:line="480" w:lineRule="exact"/>
        <w:jc w:val="center"/>
        <w:rPr>
          <w:b/>
          <w:color w:val="000000"/>
          <w:szCs w:val="28"/>
        </w:rPr>
      </w:pPr>
    </w:p>
    <w:p>
      <w:pPr>
        <w:adjustRightInd w:val="0"/>
        <w:snapToGrid w:val="0"/>
        <w:spacing w:line="480" w:lineRule="exact"/>
        <w:jc w:val="center"/>
        <w:rPr>
          <w:b/>
          <w:color w:val="000000"/>
          <w:szCs w:val="28"/>
        </w:rPr>
      </w:pPr>
    </w:p>
    <w:p>
      <w:pPr>
        <w:adjustRightInd w:val="0"/>
        <w:snapToGrid w:val="0"/>
        <w:spacing w:line="480" w:lineRule="exact"/>
        <w:jc w:val="center"/>
        <w:rPr>
          <w:b/>
          <w:sz w:val="24"/>
          <w:szCs w:val="24"/>
        </w:rPr>
      </w:pPr>
      <w:r>
        <w:rPr>
          <w:b/>
          <w:color w:val="000000"/>
          <w:szCs w:val="28"/>
        </w:rPr>
        <w:t>图</w:t>
      </w:r>
      <w:r>
        <w:rPr>
          <w:rFonts w:hint="eastAsia"/>
          <w:b/>
          <w:color w:val="000000"/>
          <w:szCs w:val="28"/>
        </w:rPr>
        <w:t>9.2-3</w:t>
      </w:r>
      <w:r>
        <w:rPr>
          <w:b/>
          <w:color w:val="000000"/>
          <w:szCs w:val="28"/>
        </w:rPr>
        <w:t xml:space="preserve"> 噪声</w:t>
      </w:r>
      <w:r>
        <w:rPr>
          <w:rFonts w:hint="eastAsia"/>
          <w:b/>
          <w:color w:val="000000"/>
          <w:szCs w:val="28"/>
        </w:rPr>
        <w:t>监测</w:t>
      </w:r>
      <w:r>
        <w:rPr>
          <w:b/>
          <w:color w:val="000000"/>
          <w:szCs w:val="28"/>
        </w:rPr>
        <w:t>点位布置图</w:t>
      </w:r>
    </w:p>
    <w:p>
      <w:pPr>
        <w:spacing w:line="360" w:lineRule="auto"/>
        <w:contextualSpacing/>
        <w:rPr>
          <w:b/>
          <w:sz w:val="24"/>
          <w:szCs w:val="24"/>
        </w:rPr>
      </w:pPr>
      <w:r>
        <w:rPr>
          <w:b/>
          <w:sz w:val="24"/>
          <w:szCs w:val="24"/>
        </w:rPr>
        <w:t>9.2.</w:t>
      </w:r>
      <w:r>
        <w:rPr>
          <w:rFonts w:hint="eastAsia"/>
          <w:b/>
          <w:sz w:val="24"/>
          <w:szCs w:val="24"/>
        </w:rPr>
        <w:t>3</w:t>
      </w:r>
      <w:r>
        <w:rPr>
          <w:b/>
          <w:sz w:val="24"/>
          <w:szCs w:val="24"/>
        </w:rPr>
        <w:t>.2 噪声监测结果分析</w:t>
      </w:r>
    </w:p>
    <w:p>
      <w:pPr>
        <w:adjustRightInd w:val="0"/>
        <w:snapToGrid w:val="0"/>
        <w:spacing w:line="480" w:lineRule="exact"/>
        <w:ind w:firstLine="480" w:firstLineChars="200"/>
        <w:jc w:val="left"/>
        <w:rPr>
          <w:sz w:val="24"/>
          <w:szCs w:val="24"/>
        </w:rPr>
      </w:pPr>
      <w:r>
        <w:rPr>
          <w:sz w:val="24"/>
          <w:szCs w:val="24"/>
        </w:rPr>
        <w:t>验收监测期间，东、南、西、北厂界昼间最大值分别为5</w:t>
      </w:r>
      <w:r>
        <w:rPr>
          <w:rFonts w:hint="eastAsia"/>
          <w:sz w:val="24"/>
          <w:szCs w:val="24"/>
        </w:rPr>
        <w:t>7</w:t>
      </w:r>
      <w:r>
        <w:rPr>
          <w:sz w:val="24"/>
          <w:szCs w:val="24"/>
        </w:rPr>
        <w:t>dB（A）、5</w:t>
      </w:r>
      <w:r>
        <w:rPr>
          <w:rFonts w:hint="eastAsia"/>
          <w:sz w:val="24"/>
          <w:szCs w:val="24"/>
        </w:rPr>
        <w:t>6</w:t>
      </w:r>
      <w:r>
        <w:rPr>
          <w:sz w:val="24"/>
          <w:szCs w:val="24"/>
        </w:rPr>
        <w:t>dB（A）、5</w:t>
      </w:r>
      <w:r>
        <w:rPr>
          <w:rFonts w:hint="eastAsia"/>
          <w:sz w:val="24"/>
          <w:szCs w:val="24"/>
        </w:rPr>
        <w:t>7</w:t>
      </w:r>
      <w:r>
        <w:rPr>
          <w:sz w:val="24"/>
          <w:szCs w:val="24"/>
        </w:rPr>
        <w:t>dB（A）、5</w:t>
      </w:r>
      <w:r>
        <w:rPr>
          <w:rFonts w:hint="eastAsia"/>
          <w:sz w:val="24"/>
          <w:szCs w:val="24"/>
        </w:rPr>
        <w:t>8</w:t>
      </w:r>
      <w:r>
        <w:rPr>
          <w:sz w:val="24"/>
          <w:szCs w:val="24"/>
        </w:rPr>
        <w:t>dB（A），东、南、西、北厂界夜间最大值分别为4</w:t>
      </w:r>
      <w:r>
        <w:rPr>
          <w:rFonts w:hint="eastAsia"/>
          <w:sz w:val="24"/>
          <w:szCs w:val="24"/>
        </w:rPr>
        <w:t>9</w:t>
      </w:r>
      <w:r>
        <w:rPr>
          <w:sz w:val="24"/>
          <w:szCs w:val="24"/>
        </w:rPr>
        <w:t>dB（A）、4</w:t>
      </w:r>
      <w:r>
        <w:rPr>
          <w:rFonts w:hint="eastAsia"/>
          <w:sz w:val="24"/>
          <w:szCs w:val="24"/>
        </w:rPr>
        <w:t>6</w:t>
      </w:r>
      <w:r>
        <w:rPr>
          <w:sz w:val="24"/>
          <w:szCs w:val="24"/>
        </w:rPr>
        <w:t>dB（A）、</w:t>
      </w:r>
      <w:r>
        <w:rPr>
          <w:rFonts w:hint="eastAsia"/>
          <w:sz w:val="24"/>
          <w:szCs w:val="24"/>
        </w:rPr>
        <w:t>44</w:t>
      </w:r>
      <w:r>
        <w:rPr>
          <w:sz w:val="24"/>
          <w:szCs w:val="24"/>
        </w:rPr>
        <w:t>dB（A）、4</w:t>
      </w:r>
      <w:r>
        <w:rPr>
          <w:rFonts w:hint="eastAsia"/>
          <w:sz w:val="24"/>
          <w:szCs w:val="24"/>
        </w:rPr>
        <w:t>5</w:t>
      </w:r>
      <w:r>
        <w:rPr>
          <w:sz w:val="24"/>
          <w:szCs w:val="24"/>
        </w:rPr>
        <w:t>dB（A），各厂界噪声昼夜测量值均满足《工业企业厂界环境噪声排放标准》（GB12348-2008）中3类区标准要求。</w:t>
      </w:r>
    </w:p>
    <w:p>
      <w:pPr>
        <w:pStyle w:val="10"/>
        <w:spacing w:line="360" w:lineRule="auto"/>
        <w:contextualSpacing/>
        <w:rPr>
          <w:kern w:val="0"/>
        </w:rPr>
      </w:pPr>
      <w:bookmarkStart w:id="95" w:name="_Toc20391"/>
      <w:r>
        <w:rPr>
          <w:kern w:val="0"/>
        </w:rPr>
        <w:t>9.3污染物排放总量核算</w:t>
      </w:r>
      <w:bookmarkEnd w:id="95"/>
    </w:p>
    <w:p>
      <w:pPr>
        <w:adjustRightInd w:val="0"/>
        <w:snapToGrid w:val="0"/>
        <w:spacing w:line="360" w:lineRule="auto"/>
        <w:ind w:firstLine="480" w:firstLineChars="200"/>
        <w:rPr>
          <w:sz w:val="24"/>
        </w:rPr>
      </w:pPr>
      <w:r>
        <w:rPr>
          <w:rFonts w:hint="eastAsia"/>
          <w:sz w:val="24"/>
        </w:rPr>
        <w:t>废气污染物总量核算：</w:t>
      </w:r>
    </w:p>
    <w:p>
      <w:pPr>
        <w:snapToGrid w:val="0"/>
        <w:spacing w:line="360" w:lineRule="auto"/>
        <w:ind w:firstLine="480" w:firstLineChars="200"/>
        <w:jc w:val="left"/>
        <w:rPr>
          <w:b/>
          <w:bCs/>
          <w:color w:val="0C0C0C"/>
          <w:sz w:val="24"/>
        </w:rPr>
      </w:pPr>
      <w:r>
        <w:rPr>
          <w:sz w:val="24"/>
        </w:rPr>
        <w:t>根据验收监测结果核算本项目的</w:t>
      </w:r>
      <w:r>
        <w:rPr>
          <w:rFonts w:hint="eastAsia"/>
          <w:sz w:val="24"/>
        </w:rPr>
        <w:t>废气</w:t>
      </w:r>
      <w:r>
        <w:rPr>
          <w:sz w:val="24"/>
        </w:rPr>
        <w:t>污染物</w:t>
      </w:r>
      <w:r>
        <w:rPr>
          <w:rFonts w:hint="eastAsia"/>
          <w:sz w:val="24"/>
        </w:rPr>
        <w:t>排放</w:t>
      </w:r>
      <w:r>
        <w:rPr>
          <w:sz w:val="24"/>
        </w:rPr>
        <w:t>总量见表</w:t>
      </w:r>
      <w:r>
        <w:rPr>
          <w:rFonts w:hint="eastAsia"/>
          <w:sz w:val="24"/>
        </w:rPr>
        <w:t>9.3-1</w:t>
      </w:r>
      <w:r>
        <w:rPr>
          <w:sz w:val="24"/>
        </w:rPr>
        <w:t>。</w:t>
      </w:r>
    </w:p>
    <w:p>
      <w:pPr>
        <w:autoSpaceDE w:val="0"/>
        <w:autoSpaceDN w:val="0"/>
        <w:adjustRightInd w:val="0"/>
        <w:snapToGrid w:val="0"/>
        <w:ind w:firstLine="482"/>
        <w:jc w:val="center"/>
        <w:rPr>
          <w:b/>
          <w:bCs/>
          <w:color w:val="0C0C0C"/>
        </w:rPr>
      </w:pPr>
      <w:r>
        <w:rPr>
          <w:b/>
          <w:bCs/>
          <w:color w:val="0C0C0C"/>
        </w:rPr>
        <w:t>表</w:t>
      </w:r>
      <w:r>
        <w:rPr>
          <w:rFonts w:hint="eastAsia"/>
          <w:b/>
          <w:bCs/>
          <w:color w:val="0C0C0C"/>
        </w:rPr>
        <w:t>9.3-1</w:t>
      </w:r>
      <w:r>
        <w:rPr>
          <w:b/>
          <w:bCs/>
          <w:color w:val="0C0C0C"/>
        </w:rPr>
        <w:t xml:space="preserve"> 废气污染物排放总量核算表</w:t>
      </w:r>
    </w:p>
    <w:tbl>
      <w:tblPr>
        <w:tblStyle w:val="39"/>
        <w:tblW w:w="895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440"/>
        <w:gridCol w:w="1193"/>
        <w:gridCol w:w="851"/>
        <w:gridCol w:w="1169"/>
        <w:gridCol w:w="1512"/>
        <w:gridCol w:w="1216"/>
        <w:gridCol w:w="157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40" w:type="dxa"/>
            <w:vAlign w:val="center"/>
          </w:tcPr>
          <w:p>
            <w:pPr>
              <w:jc w:val="center"/>
              <w:rPr>
                <w:b/>
                <w:bCs/>
                <w:color w:val="0C0C0C"/>
              </w:rPr>
            </w:pPr>
            <w:r>
              <w:rPr>
                <w:b/>
                <w:bCs/>
                <w:color w:val="0C0C0C"/>
              </w:rPr>
              <w:t>项目</w:t>
            </w:r>
          </w:p>
        </w:tc>
        <w:tc>
          <w:tcPr>
            <w:tcW w:w="1193" w:type="dxa"/>
            <w:vAlign w:val="center"/>
          </w:tcPr>
          <w:p>
            <w:pPr>
              <w:jc w:val="center"/>
              <w:rPr>
                <w:b/>
                <w:bCs/>
                <w:color w:val="0C0C0C"/>
              </w:rPr>
            </w:pPr>
            <w:r>
              <w:rPr>
                <w:rFonts w:hint="eastAsia"/>
                <w:b/>
                <w:bCs/>
                <w:color w:val="0C0C0C"/>
              </w:rPr>
              <w:t>运营</w:t>
            </w:r>
            <w:r>
              <w:rPr>
                <w:b/>
                <w:bCs/>
                <w:color w:val="0C0C0C"/>
              </w:rPr>
              <w:t>时间（h）</w:t>
            </w:r>
          </w:p>
        </w:tc>
        <w:tc>
          <w:tcPr>
            <w:tcW w:w="851" w:type="dxa"/>
            <w:vAlign w:val="center"/>
          </w:tcPr>
          <w:p>
            <w:pPr>
              <w:jc w:val="center"/>
              <w:rPr>
                <w:b/>
                <w:bCs/>
                <w:color w:val="0C0C0C"/>
              </w:rPr>
            </w:pPr>
            <w:r>
              <w:rPr>
                <w:rFonts w:hint="eastAsia"/>
                <w:b/>
                <w:bCs/>
                <w:color w:val="0C0C0C"/>
              </w:rPr>
              <w:t>排气筒</w:t>
            </w:r>
          </w:p>
        </w:tc>
        <w:tc>
          <w:tcPr>
            <w:tcW w:w="1169" w:type="dxa"/>
            <w:vAlign w:val="center"/>
          </w:tcPr>
          <w:p>
            <w:pPr>
              <w:jc w:val="center"/>
              <w:rPr>
                <w:b/>
                <w:bCs/>
                <w:color w:val="0C0C0C"/>
              </w:rPr>
            </w:pPr>
            <w:r>
              <w:rPr>
                <w:b/>
                <w:bCs/>
                <w:color w:val="0C0C0C"/>
              </w:rPr>
              <w:t>产生环节</w:t>
            </w:r>
          </w:p>
        </w:tc>
        <w:tc>
          <w:tcPr>
            <w:tcW w:w="1512" w:type="dxa"/>
            <w:vAlign w:val="center"/>
          </w:tcPr>
          <w:p>
            <w:pPr>
              <w:jc w:val="center"/>
              <w:rPr>
                <w:b/>
                <w:bCs/>
                <w:color w:val="0C0C0C"/>
              </w:rPr>
            </w:pPr>
            <w:r>
              <w:rPr>
                <w:b/>
                <w:bCs/>
                <w:color w:val="0C0C0C"/>
              </w:rPr>
              <w:t>日均最大排放</w:t>
            </w:r>
          </w:p>
          <w:p>
            <w:pPr>
              <w:jc w:val="center"/>
              <w:rPr>
                <w:b/>
                <w:bCs/>
                <w:color w:val="0C0C0C"/>
              </w:rPr>
            </w:pPr>
            <w:r>
              <w:rPr>
                <w:b/>
                <w:bCs/>
                <w:color w:val="0C0C0C"/>
              </w:rPr>
              <w:t>速率（kg/h）</w:t>
            </w:r>
          </w:p>
        </w:tc>
        <w:tc>
          <w:tcPr>
            <w:tcW w:w="1216" w:type="dxa"/>
            <w:vAlign w:val="center"/>
          </w:tcPr>
          <w:p>
            <w:pPr>
              <w:jc w:val="center"/>
              <w:rPr>
                <w:b/>
                <w:bCs/>
                <w:color w:val="0C0C0C"/>
              </w:rPr>
            </w:pPr>
            <w:r>
              <w:rPr>
                <w:b/>
                <w:bCs/>
                <w:color w:val="0C0C0C"/>
              </w:rPr>
              <w:t>核算总量（t/a）</w:t>
            </w:r>
          </w:p>
        </w:tc>
        <w:tc>
          <w:tcPr>
            <w:tcW w:w="1571" w:type="dxa"/>
            <w:vAlign w:val="center"/>
          </w:tcPr>
          <w:p>
            <w:pPr>
              <w:jc w:val="center"/>
              <w:rPr>
                <w:b/>
                <w:bCs/>
                <w:color w:val="0C0C0C"/>
              </w:rPr>
            </w:pPr>
            <w:r>
              <w:rPr>
                <w:b/>
                <w:bCs/>
                <w:color w:val="0C0C0C"/>
              </w:rPr>
              <w:t>总量确认书要求（t/a）</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397" w:hRule="atLeast"/>
          <w:jc w:val="center"/>
        </w:trPr>
        <w:tc>
          <w:tcPr>
            <w:tcW w:w="1440" w:type="dxa"/>
            <w:vAlign w:val="center"/>
          </w:tcPr>
          <w:p>
            <w:pPr>
              <w:jc w:val="center"/>
            </w:pPr>
            <w:r>
              <w:rPr>
                <w:rFonts w:hint="eastAsia"/>
              </w:rPr>
              <w:t>VOCs（以非甲烷总烃计）</w:t>
            </w:r>
          </w:p>
        </w:tc>
        <w:tc>
          <w:tcPr>
            <w:tcW w:w="1193" w:type="dxa"/>
            <w:vAlign w:val="center"/>
          </w:tcPr>
          <w:p>
            <w:pPr>
              <w:jc w:val="center"/>
            </w:pPr>
            <w:r>
              <w:rPr>
                <w:rFonts w:hint="eastAsia"/>
              </w:rPr>
              <w:t>7920</w:t>
            </w:r>
          </w:p>
        </w:tc>
        <w:tc>
          <w:tcPr>
            <w:tcW w:w="851" w:type="dxa"/>
            <w:vAlign w:val="center"/>
          </w:tcPr>
          <w:p>
            <w:pPr>
              <w:jc w:val="center"/>
            </w:pPr>
            <w:r>
              <w:rPr>
                <w:rFonts w:hint="eastAsia"/>
              </w:rPr>
              <w:t>P1</w:t>
            </w:r>
          </w:p>
        </w:tc>
        <w:tc>
          <w:tcPr>
            <w:tcW w:w="1169" w:type="dxa"/>
            <w:vAlign w:val="center"/>
          </w:tcPr>
          <w:p>
            <w:pPr>
              <w:jc w:val="center"/>
            </w:pPr>
            <w:r>
              <w:rPr>
                <w:rFonts w:hint="eastAsia"/>
              </w:rPr>
              <w:t>氯化反应、吹脱精制</w:t>
            </w:r>
          </w:p>
        </w:tc>
        <w:tc>
          <w:tcPr>
            <w:tcW w:w="1512" w:type="dxa"/>
            <w:vAlign w:val="center"/>
          </w:tcPr>
          <w:p>
            <w:pPr>
              <w:jc w:val="center"/>
            </w:pPr>
            <w:r>
              <w:rPr>
                <w:rFonts w:hint="eastAsia"/>
              </w:rPr>
              <w:t>0.0518</w:t>
            </w:r>
          </w:p>
        </w:tc>
        <w:tc>
          <w:tcPr>
            <w:tcW w:w="1216" w:type="dxa"/>
            <w:vAlign w:val="center"/>
          </w:tcPr>
          <w:p>
            <w:pPr>
              <w:jc w:val="center"/>
            </w:pPr>
            <w:r>
              <w:rPr>
                <w:rFonts w:hint="eastAsia"/>
              </w:rPr>
              <w:t>0.41</w:t>
            </w:r>
          </w:p>
        </w:tc>
        <w:tc>
          <w:tcPr>
            <w:tcW w:w="1571" w:type="dxa"/>
            <w:vAlign w:val="center"/>
          </w:tcPr>
          <w:p>
            <w:pPr>
              <w:jc w:val="center"/>
            </w:pPr>
            <w:r>
              <w:rPr>
                <w:rFonts w:hint="eastAsia"/>
              </w:rPr>
              <w:t>0.72</w:t>
            </w:r>
          </w:p>
        </w:tc>
      </w:tr>
    </w:tbl>
    <w:p>
      <w:pPr>
        <w:pStyle w:val="85"/>
        <w:tabs>
          <w:tab w:val="left" w:pos="1260"/>
        </w:tabs>
        <w:spacing w:beforeLines="0" w:afterLines="0"/>
        <w:ind w:firstLine="480"/>
        <w:outlineLvl w:val="0"/>
        <w:rPr>
          <w:bCs/>
          <w:sz w:val="24"/>
          <w:szCs w:val="24"/>
        </w:rPr>
      </w:pPr>
      <w:bookmarkStart w:id="96" w:name="_Toc28329"/>
      <w:bookmarkStart w:id="97" w:name="_Toc16189"/>
      <w:bookmarkStart w:id="98" w:name="_Toc30049"/>
      <w:r>
        <w:rPr>
          <w:bCs/>
          <w:sz w:val="24"/>
          <w:szCs w:val="24"/>
        </w:rPr>
        <w:t>本项目废气污染物实际排放总量：</w:t>
      </w:r>
      <w:bookmarkStart w:id="99" w:name="_Hlk171416841"/>
      <w:r>
        <w:rPr>
          <w:rFonts w:hint="eastAsia"/>
          <w:sz w:val="24"/>
          <w:szCs w:val="24"/>
        </w:rPr>
        <w:t>VOCs（以非甲烷总烃计）</w:t>
      </w:r>
      <w:r>
        <w:rPr>
          <w:bCs/>
          <w:sz w:val="24"/>
          <w:szCs w:val="24"/>
        </w:rPr>
        <w:t>为</w:t>
      </w:r>
      <w:r>
        <w:rPr>
          <w:rFonts w:hint="eastAsia"/>
          <w:bCs/>
          <w:sz w:val="24"/>
          <w:szCs w:val="24"/>
        </w:rPr>
        <w:t>0.41</w:t>
      </w:r>
      <w:r>
        <w:rPr>
          <w:bCs/>
          <w:sz w:val="24"/>
          <w:szCs w:val="24"/>
        </w:rPr>
        <w:t>t/a</w:t>
      </w:r>
      <w:bookmarkEnd w:id="96"/>
      <w:r>
        <w:rPr>
          <w:rFonts w:hint="eastAsia"/>
          <w:bCs/>
          <w:sz w:val="24"/>
          <w:szCs w:val="24"/>
        </w:rPr>
        <w:t>，</w:t>
      </w:r>
      <w:r>
        <w:rPr>
          <w:bCs/>
          <w:sz w:val="24"/>
          <w:szCs w:val="24"/>
        </w:rPr>
        <w:t>低于</w:t>
      </w:r>
      <w:r>
        <w:rPr>
          <w:rFonts w:eastAsia="新宋体"/>
          <w:sz w:val="24"/>
          <w:szCs w:val="24"/>
        </w:rPr>
        <w:t>《</w:t>
      </w:r>
      <w:r>
        <w:rPr>
          <w:rFonts w:hint="eastAsia" w:eastAsia="新宋体"/>
          <w:sz w:val="24"/>
          <w:szCs w:val="24"/>
        </w:rPr>
        <w:t>山东大地盐化集团有限公司年产10万吨氯化石蜡项目</w:t>
      </w:r>
      <w:r>
        <w:rPr>
          <w:rFonts w:eastAsia="新宋体"/>
          <w:sz w:val="24"/>
          <w:szCs w:val="24"/>
        </w:rPr>
        <w:t>污染物排放总量确认书》（SGZL（202</w:t>
      </w:r>
      <w:r>
        <w:rPr>
          <w:rFonts w:hint="eastAsia" w:eastAsia="新宋体"/>
          <w:sz w:val="24"/>
          <w:szCs w:val="24"/>
        </w:rPr>
        <w:t>3</w:t>
      </w:r>
      <w:r>
        <w:rPr>
          <w:rFonts w:eastAsia="新宋体"/>
          <w:sz w:val="24"/>
          <w:szCs w:val="24"/>
        </w:rPr>
        <w:t>）</w:t>
      </w:r>
      <w:r>
        <w:rPr>
          <w:rFonts w:hint="eastAsia" w:eastAsia="新宋体"/>
          <w:sz w:val="24"/>
          <w:szCs w:val="24"/>
        </w:rPr>
        <w:t>47</w:t>
      </w:r>
      <w:r>
        <w:rPr>
          <w:rFonts w:eastAsia="新宋体"/>
          <w:sz w:val="24"/>
          <w:szCs w:val="24"/>
        </w:rPr>
        <w:t>号）</w:t>
      </w:r>
      <w:r>
        <w:rPr>
          <w:rFonts w:hint="eastAsia" w:eastAsia="新宋体"/>
          <w:sz w:val="24"/>
          <w:szCs w:val="24"/>
        </w:rPr>
        <w:t>中总量</w:t>
      </w:r>
      <w:r>
        <w:rPr>
          <w:bCs/>
          <w:sz w:val="24"/>
          <w:szCs w:val="24"/>
        </w:rPr>
        <w:t>控制值为</w:t>
      </w:r>
      <w:r>
        <w:rPr>
          <w:rFonts w:hint="eastAsia"/>
          <w:sz w:val="24"/>
          <w:szCs w:val="24"/>
        </w:rPr>
        <w:t xml:space="preserve">VOCs </w:t>
      </w:r>
      <w:r>
        <w:rPr>
          <w:rFonts w:hint="eastAsia" w:eastAsia="新宋体"/>
          <w:sz w:val="24"/>
          <w:szCs w:val="24"/>
        </w:rPr>
        <w:t>0.72</w:t>
      </w:r>
      <w:r>
        <w:rPr>
          <w:rFonts w:eastAsia="新宋体"/>
          <w:sz w:val="24"/>
          <w:szCs w:val="24"/>
        </w:rPr>
        <w:t>t/a</w:t>
      </w:r>
      <w:r>
        <w:rPr>
          <w:bCs/>
          <w:sz w:val="24"/>
          <w:szCs w:val="24"/>
        </w:rPr>
        <w:t>。</w:t>
      </w:r>
      <w:bookmarkEnd w:id="97"/>
      <w:bookmarkEnd w:id="98"/>
      <w:bookmarkEnd w:id="99"/>
    </w:p>
    <w:p>
      <w:pPr>
        <w:pStyle w:val="2"/>
        <w:ind w:left="0" w:leftChars="0" w:firstLine="480"/>
        <w:sectPr>
          <w:footerReference r:id="rId18"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bCs/>
          <w:sz w:val="24"/>
        </w:rPr>
        <w:t>综上，本项目污染物排放量不超过总量确认书中总量，满足总量控制要求</w:t>
      </w:r>
      <w:r>
        <w:rPr>
          <w:rFonts w:hint="eastAsia"/>
          <w:bCs/>
          <w:sz w:val="24"/>
        </w:rPr>
        <w:t>。</w:t>
      </w:r>
    </w:p>
    <w:p>
      <w:pPr>
        <w:pStyle w:val="9"/>
        <w:spacing w:line="360" w:lineRule="auto"/>
      </w:pPr>
      <w:bookmarkStart w:id="100" w:name="_Toc18473"/>
      <w:r>
        <w:t>第十章  验收监测结论</w:t>
      </w:r>
      <w:bookmarkEnd w:id="100"/>
    </w:p>
    <w:p>
      <w:pPr>
        <w:pStyle w:val="10"/>
        <w:spacing w:line="360" w:lineRule="auto"/>
        <w:contextualSpacing/>
      </w:pPr>
      <w:bookmarkStart w:id="101" w:name="_Toc2761"/>
      <w:r>
        <w:t>10.1项目基本情况</w:t>
      </w:r>
      <w:bookmarkEnd w:id="101"/>
    </w:p>
    <w:p>
      <w:pPr>
        <w:widowControl/>
        <w:autoSpaceDE w:val="0"/>
        <w:autoSpaceDN w:val="0"/>
        <w:spacing w:line="360" w:lineRule="auto"/>
        <w:ind w:firstLine="480" w:firstLineChars="200"/>
        <w:jc w:val="left"/>
        <w:rPr>
          <w:sz w:val="24"/>
        </w:rPr>
      </w:pPr>
      <w:r>
        <w:rPr>
          <w:rFonts w:hint="eastAsia"/>
          <w:sz w:val="24"/>
        </w:rPr>
        <w:t>佰润新材（寿光）有限公司成立于2020年9月1日，是</w:t>
      </w:r>
      <w:r>
        <w:rPr>
          <w:rFonts w:hint="eastAsia" w:ascii="宋体" w:hAnsi="宋体" w:cs="宋体"/>
          <w:color w:val="000000"/>
          <w:kern w:val="0"/>
          <w:sz w:val="24"/>
          <w:szCs w:val="24"/>
          <w:lang w:bidi="ar"/>
        </w:rPr>
        <w:t>山东大地盐化集团有限公司子公司，</w:t>
      </w:r>
      <w:r>
        <w:rPr>
          <w:rFonts w:hint="eastAsia"/>
          <w:sz w:val="24"/>
        </w:rPr>
        <w:t>厂址位于寿光侯镇化工产业园金源路以南，丰东路以东。公司厂区东侧为空地，南侧隔岔盐路为寿光金太阳热电有限公司，西侧隔丰东路为空地，北侧为山东昊邦化学有限公司。公司占地面积</w:t>
      </w:r>
      <w:r>
        <w:rPr>
          <w:rFonts w:hint="eastAsia"/>
          <w:kern w:val="44"/>
          <w:sz w:val="24"/>
        </w:rPr>
        <w:t>63290</w:t>
      </w:r>
      <w:r>
        <w:rPr>
          <w:rFonts w:hint="eastAsia"/>
          <w:sz w:val="24"/>
        </w:rPr>
        <w:t>m</w:t>
      </w:r>
      <w:r>
        <w:rPr>
          <w:rFonts w:hint="eastAsia"/>
          <w:sz w:val="24"/>
          <w:vertAlign w:val="superscript"/>
        </w:rPr>
        <w:t>2</w:t>
      </w:r>
      <w:r>
        <w:rPr>
          <w:rFonts w:hint="eastAsia"/>
          <w:sz w:val="24"/>
        </w:rPr>
        <w:t>。行业类别为C2661化学试剂和助剂制造。</w:t>
      </w:r>
    </w:p>
    <w:p>
      <w:pPr>
        <w:widowControl/>
        <w:autoSpaceDE w:val="0"/>
        <w:autoSpaceDN w:val="0"/>
        <w:spacing w:line="360" w:lineRule="auto"/>
        <w:ind w:firstLine="480" w:firstLineChars="200"/>
        <w:jc w:val="left"/>
        <w:rPr>
          <w:sz w:val="24"/>
        </w:rPr>
      </w:pPr>
      <w:r>
        <w:rPr>
          <w:rFonts w:hint="eastAsia"/>
          <w:sz w:val="24"/>
        </w:rPr>
        <w:t>佰润新材（寿光）有限公司现有项目为年产10万吨氯化石蜡项目，该项目于2020年6月通过潍坊市生态环境局审批，批复文号：潍环审字［2020］25 号，并于2021年12月完成了一期工程（5万吨/年氯化石蜡）自主验收，于2022年10月完成了二期工程（5万吨/年氯化石蜡）自主验收。环保手续完备，目前正常生产。</w:t>
      </w:r>
    </w:p>
    <w:p>
      <w:pPr>
        <w:widowControl/>
        <w:autoSpaceDE w:val="0"/>
        <w:autoSpaceDN w:val="0"/>
        <w:spacing w:line="360" w:lineRule="auto"/>
        <w:ind w:firstLine="480" w:firstLineChars="200"/>
        <w:rPr>
          <w:sz w:val="24"/>
          <w:szCs w:val="24"/>
        </w:rPr>
      </w:pPr>
      <w:r>
        <w:rPr>
          <w:rFonts w:hint="eastAsia"/>
          <w:sz w:val="24"/>
          <w:szCs w:val="24"/>
        </w:rPr>
        <w:t>山东大地盐化集团有限公司成立于2004年1月，注册地址为寿光市侯镇岔河东，法定代表人为李迎堂，注册资本为59241万元，经营范围：生产、销售：原盐、溴素（有效期限以许可证为准）、阻燃剂、终止剂、三氟氯菊酸、白炭黑、四溴双酚 A、十溴二苯醚、饲料添加剂；承揽：管道与设备安装工程；特种设备检验检测服务；销售：盐需物资、黄金、煤炭及制品、化工生产专用设备及配件、机械设备及配件、塑料制品（不含危险化学品）、建筑材料、仪器仪表、机械零部件、钢材、五金产品、电子产品、办公用品；货物仓储（不含违禁品）；货物及技术进出口业务。</w:t>
      </w:r>
    </w:p>
    <w:p>
      <w:pPr>
        <w:widowControl/>
        <w:autoSpaceDE w:val="0"/>
        <w:autoSpaceDN w:val="0"/>
        <w:spacing w:line="360" w:lineRule="auto"/>
        <w:ind w:firstLine="480" w:firstLineChars="200"/>
        <w:rPr>
          <w:sz w:val="24"/>
          <w:szCs w:val="24"/>
        </w:rPr>
      </w:pPr>
      <w:r>
        <w:rPr>
          <w:rFonts w:hint="eastAsia"/>
          <w:sz w:val="24"/>
          <w:szCs w:val="24"/>
        </w:rPr>
        <w:t>山东大地盐化集团有限公司（新建年产10万吨氯化石蜡项目）厂区与佰润新材（寿光）有限公司位于同一个厂区，其年产10万吨氯化石蜡项目（本次验收范围）全部由山东大地盐化集团有限公司投资建设。公辅设施（给排水、供配电、供汽、供气、制冷、仓库、控制室、化验室、维修间、装卸设施等）两公司共用。该项目依托佰润新材的生产设施（事故氯吸收装置）、储运设施（综合仓库、原料罐区、盐酸罐区、氯气输送主管道、装卸设施）与部分公辅设施（供配电设施、给排水设施、供汽主管道、供气设施、制冷设施、控制/监控系统、维修间、化验室），依托泰普新能源的循环水设施，依托大地集团的行政办公设施（集团办公楼）。山东大地盐化集团有限公司拟投资32000万元建设年产10万吨氯化石蜡项目，项目于2022年11月17日取得了山东省建设项目备案证明，项目代码为 2211-370783-04- 01-924383。项目装置区2处（4套/处，7个氯化塔/套）、原料罐区1座、成品罐区一座、中转泵房1座、生产尾气吸收装置1套，购置氯化塔、反应釜、冷凝器、氯化换热器、降膜吸收器、分离器、精制吹风塔、储罐等主要设备248台（套）。项目建成后，形成年产10万吨氯化石蜡（中长链），副产17 万吨的31%盐酸和2800吨10%液体次氯酸钠的生产能力。</w:t>
      </w:r>
    </w:p>
    <w:p>
      <w:pPr>
        <w:widowControl/>
        <w:autoSpaceDE w:val="0"/>
        <w:autoSpaceDN w:val="0"/>
        <w:spacing w:line="360" w:lineRule="auto"/>
        <w:ind w:firstLine="480" w:firstLineChars="200"/>
        <w:rPr>
          <w:rFonts w:ascii="宋体" w:hAnsi="宋体" w:cs="宋体"/>
          <w:color w:val="000000"/>
          <w:kern w:val="0"/>
          <w:sz w:val="24"/>
          <w:szCs w:val="24"/>
          <w:lang w:bidi="ar"/>
        </w:rPr>
      </w:pPr>
      <w:r>
        <w:rPr>
          <w:rFonts w:hint="eastAsia" w:ascii="宋体" w:hAnsi="宋体" w:cs="宋体"/>
          <w:color w:val="000000"/>
          <w:kern w:val="0"/>
          <w:sz w:val="24"/>
          <w:szCs w:val="24"/>
          <w:lang w:bidi="ar"/>
        </w:rPr>
        <w:t>山东大地盐化集团有限公司现有工程与新建年产10万吨氯化石蜡项目不在一个厂区，新建项目生产原料及产品与其他厂区现有工程不存在上下游关系，新建项目独立运行，依托佰润新材（寿光）有限公司现有公辅设施。</w:t>
      </w:r>
    </w:p>
    <w:p>
      <w:pPr>
        <w:widowControl/>
        <w:autoSpaceDE w:val="0"/>
        <w:autoSpaceDN w:val="0"/>
        <w:spacing w:line="360" w:lineRule="auto"/>
        <w:ind w:firstLine="480" w:firstLineChars="200"/>
        <w:contextualSpacing/>
        <w:rPr>
          <w:color w:val="0000FF"/>
          <w:sz w:val="24"/>
          <w:szCs w:val="24"/>
        </w:rPr>
      </w:pPr>
      <w:r>
        <w:rPr>
          <w:rFonts w:hint="eastAsia" w:ascii="宋体" w:hAnsi="宋体" w:cs="宋体"/>
          <w:color w:val="000000"/>
          <w:kern w:val="0"/>
          <w:sz w:val="24"/>
          <w:szCs w:val="24"/>
          <w:lang w:bidi="ar"/>
        </w:rPr>
        <w:t>变更说明：山东大地盐化集团有限公司年</w:t>
      </w:r>
      <w:r>
        <w:rPr>
          <w:color w:val="000000"/>
          <w:kern w:val="0"/>
          <w:sz w:val="24"/>
          <w:szCs w:val="24"/>
          <w:lang w:bidi="ar"/>
        </w:rPr>
        <w:t>产10万吨氯化石蜡项目于2024年3月10日双方签订收购协议，全部资产由</w:t>
      </w:r>
      <w:r>
        <w:rPr>
          <w:sz w:val="24"/>
        </w:rPr>
        <w:t>佰润新材（寿光）有限公司接</w:t>
      </w:r>
      <w:r>
        <w:rPr>
          <w:rFonts w:hint="eastAsia"/>
          <w:sz w:val="24"/>
        </w:rPr>
        <w:t>管（</w:t>
      </w:r>
      <w:r>
        <w:rPr>
          <w:rFonts w:hint="eastAsia"/>
          <w:sz w:val="24"/>
          <w:szCs w:val="24"/>
        </w:rPr>
        <w:t>收购协议见附件3）。</w:t>
      </w:r>
    </w:p>
    <w:p>
      <w:pPr>
        <w:pStyle w:val="10"/>
        <w:spacing w:line="360" w:lineRule="auto"/>
        <w:contextualSpacing/>
      </w:pPr>
      <w:bookmarkStart w:id="102" w:name="_Toc15723"/>
      <w:r>
        <w:t>10.2验收监测期间工况</w:t>
      </w:r>
      <w:bookmarkEnd w:id="102"/>
    </w:p>
    <w:p>
      <w:pPr>
        <w:spacing w:line="360" w:lineRule="auto"/>
        <w:ind w:firstLine="480" w:firstLineChars="200"/>
        <w:contextualSpacing/>
        <w:rPr>
          <w:sz w:val="24"/>
          <w:szCs w:val="24"/>
        </w:rPr>
      </w:pPr>
      <w:r>
        <w:rPr>
          <w:sz w:val="24"/>
          <w:szCs w:val="24"/>
        </w:rPr>
        <w:t>验收监测于</w:t>
      </w:r>
      <w:r>
        <w:rPr>
          <w:rFonts w:hint="eastAsia"/>
          <w:sz w:val="24"/>
          <w:szCs w:val="24"/>
        </w:rPr>
        <w:t>2024</w:t>
      </w:r>
      <w:r>
        <w:rPr>
          <w:sz w:val="24"/>
          <w:szCs w:val="24"/>
        </w:rPr>
        <w:t>年</w:t>
      </w:r>
      <w:r>
        <w:rPr>
          <w:rFonts w:hint="eastAsia"/>
          <w:sz w:val="24"/>
          <w:szCs w:val="24"/>
        </w:rPr>
        <w:t>6</w:t>
      </w:r>
      <w:r>
        <w:rPr>
          <w:sz w:val="24"/>
          <w:szCs w:val="24"/>
        </w:rPr>
        <w:t>月</w:t>
      </w:r>
      <w:r>
        <w:rPr>
          <w:rFonts w:hint="eastAsia"/>
          <w:sz w:val="24"/>
          <w:szCs w:val="24"/>
        </w:rPr>
        <w:t>13日、6月15</w:t>
      </w:r>
      <w:r>
        <w:rPr>
          <w:sz w:val="24"/>
          <w:szCs w:val="24"/>
        </w:rPr>
        <w:t>日</w:t>
      </w:r>
      <w:r>
        <w:rPr>
          <w:rFonts w:hint="eastAsia"/>
          <w:color w:val="auto"/>
          <w:sz w:val="24"/>
          <w:szCs w:val="24"/>
          <w:lang w:eastAsia="zh-CN"/>
        </w:rPr>
        <w:t>、</w:t>
      </w:r>
      <w:r>
        <w:rPr>
          <w:rFonts w:hint="eastAsia"/>
          <w:color w:val="auto"/>
          <w:sz w:val="24"/>
          <w:szCs w:val="24"/>
          <w:lang w:val="en-US" w:eastAsia="zh-CN"/>
        </w:rPr>
        <w:t>7月14日、7月15日</w:t>
      </w:r>
      <w:r>
        <w:rPr>
          <w:color w:val="auto"/>
          <w:sz w:val="24"/>
          <w:szCs w:val="24"/>
        </w:rPr>
        <w:t>进行，监</w:t>
      </w:r>
      <w:r>
        <w:rPr>
          <w:sz w:val="24"/>
          <w:szCs w:val="24"/>
        </w:rPr>
        <w:t>测期间实际</w:t>
      </w:r>
      <w:r>
        <w:rPr>
          <w:rFonts w:hint="eastAsia"/>
          <w:sz w:val="24"/>
          <w:szCs w:val="24"/>
        </w:rPr>
        <w:t>生产负荷为</w:t>
      </w:r>
      <w:r>
        <w:rPr>
          <w:rFonts w:hint="eastAsia"/>
          <w:sz w:val="24"/>
          <w:szCs w:val="24"/>
          <w:lang w:val="en-US" w:eastAsia="zh-CN"/>
        </w:rPr>
        <w:t>92.97</w:t>
      </w:r>
      <w:r>
        <w:rPr>
          <w:rFonts w:hint="eastAsia"/>
          <w:sz w:val="24"/>
          <w:szCs w:val="24"/>
        </w:rPr>
        <w:t>-99.81%，且环境保护设备正常运行，满足建设项目竣工环境保护验收监测对工况稳定以及环保设备运行的要求</w:t>
      </w:r>
      <w:r>
        <w:rPr>
          <w:sz w:val="24"/>
          <w:szCs w:val="24"/>
        </w:rPr>
        <w:t>。</w:t>
      </w:r>
    </w:p>
    <w:p>
      <w:pPr>
        <w:pStyle w:val="10"/>
        <w:spacing w:line="360" w:lineRule="auto"/>
        <w:contextualSpacing/>
      </w:pPr>
      <w:bookmarkStart w:id="103" w:name="_Toc15858"/>
      <w:r>
        <w:t>10.3污染物达标排放情况</w:t>
      </w:r>
      <w:bookmarkEnd w:id="103"/>
    </w:p>
    <w:p>
      <w:pPr>
        <w:pStyle w:val="11"/>
      </w:pPr>
      <w:bookmarkStart w:id="104" w:name="_Toc6984"/>
      <w:r>
        <w:t>10.3.1 废气</w:t>
      </w:r>
      <w:bookmarkEnd w:id="104"/>
    </w:p>
    <w:p>
      <w:pPr>
        <w:spacing w:line="360" w:lineRule="auto"/>
        <w:ind w:firstLine="480" w:firstLineChars="200"/>
        <w:contextualSpacing/>
        <w:rPr>
          <w:sz w:val="24"/>
          <w:szCs w:val="24"/>
        </w:rPr>
      </w:pPr>
      <w:r>
        <w:rPr>
          <w:sz w:val="24"/>
          <w:szCs w:val="24"/>
        </w:rPr>
        <w:t>验收监测期间：</w:t>
      </w:r>
    </w:p>
    <w:p>
      <w:pPr>
        <w:spacing w:line="360" w:lineRule="auto"/>
        <w:ind w:firstLine="480" w:firstLineChars="200"/>
        <w:contextualSpacing/>
        <w:rPr>
          <w:color w:val="FF0000"/>
          <w:sz w:val="24"/>
          <w:szCs w:val="24"/>
        </w:rPr>
      </w:pPr>
      <w:r>
        <w:rPr>
          <w:rFonts w:hint="eastAsia"/>
          <w:sz w:val="24"/>
          <w:szCs w:val="24"/>
        </w:rPr>
        <w:t>P1排气筒中氯气</w:t>
      </w:r>
      <w:r>
        <w:rPr>
          <w:sz w:val="24"/>
          <w:szCs w:val="24"/>
        </w:rPr>
        <w:t>两天最大实测浓度为</w:t>
      </w:r>
      <w:r>
        <w:rPr>
          <w:rFonts w:hint="eastAsia"/>
          <w:sz w:val="24"/>
          <w:szCs w:val="24"/>
        </w:rPr>
        <w:t>3.9</w:t>
      </w:r>
      <w:r>
        <w:rPr>
          <w:sz w:val="24"/>
          <w:szCs w:val="24"/>
        </w:rPr>
        <w:t>mg/m</w:t>
      </w:r>
      <w:r>
        <w:rPr>
          <w:sz w:val="24"/>
          <w:szCs w:val="24"/>
          <w:vertAlign w:val="superscript"/>
        </w:rPr>
        <w:t>3</w:t>
      </w:r>
      <w:r>
        <w:rPr>
          <w:rFonts w:hint="eastAsia"/>
          <w:sz w:val="24"/>
          <w:szCs w:val="24"/>
        </w:rPr>
        <w:t>、排放速率为0.0068</w:t>
      </w:r>
      <w:r>
        <w:rPr>
          <w:sz w:val="24"/>
          <w:szCs w:val="24"/>
        </w:rPr>
        <w:t>kg/h</w:t>
      </w:r>
      <w:r>
        <w:rPr>
          <w:rFonts w:hint="eastAsia"/>
          <w:sz w:val="24"/>
          <w:szCs w:val="24"/>
        </w:rPr>
        <w:t>；氯化氢</w:t>
      </w:r>
      <w:r>
        <w:rPr>
          <w:sz w:val="24"/>
          <w:szCs w:val="24"/>
        </w:rPr>
        <w:t>两天最大实测浓度为</w:t>
      </w:r>
      <w:r>
        <w:rPr>
          <w:rFonts w:hint="eastAsia"/>
          <w:sz w:val="24"/>
          <w:szCs w:val="24"/>
        </w:rPr>
        <w:t>24.5</w:t>
      </w:r>
      <w:r>
        <w:rPr>
          <w:sz w:val="24"/>
          <w:szCs w:val="24"/>
        </w:rPr>
        <w:t>mg/m</w:t>
      </w:r>
      <w:r>
        <w:rPr>
          <w:sz w:val="24"/>
          <w:szCs w:val="24"/>
          <w:vertAlign w:val="superscript"/>
        </w:rPr>
        <w:t>3</w:t>
      </w:r>
      <w:r>
        <w:rPr>
          <w:rFonts w:hint="eastAsia"/>
          <w:sz w:val="24"/>
          <w:szCs w:val="24"/>
        </w:rPr>
        <w:t>、排放速率为0.0447</w:t>
      </w:r>
      <w:r>
        <w:rPr>
          <w:color w:val="auto"/>
          <w:sz w:val="24"/>
          <w:szCs w:val="24"/>
        </w:rPr>
        <w:t>kg/h</w:t>
      </w:r>
      <w:r>
        <w:rPr>
          <w:rFonts w:hint="eastAsia"/>
          <w:color w:val="auto"/>
          <w:sz w:val="24"/>
          <w:szCs w:val="24"/>
        </w:rPr>
        <w:t>；</w:t>
      </w:r>
      <w:r>
        <w:rPr>
          <w:color w:val="auto"/>
          <w:szCs w:val="24"/>
        </w:rPr>
        <w:t>VOCs（以非甲烷总烃计）</w:t>
      </w:r>
      <w:r>
        <w:rPr>
          <w:color w:val="auto"/>
          <w:sz w:val="24"/>
          <w:szCs w:val="24"/>
        </w:rPr>
        <w:t>两天最大实测浓度为</w:t>
      </w:r>
      <w:r>
        <w:rPr>
          <w:rFonts w:hint="eastAsia"/>
          <w:color w:val="auto"/>
          <w:sz w:val="24"/>
          <w:szCs w:val="24"/>
        </w:rPr>
        <w:t>29.8</w:t>
      </w:r>
      <w:r>
        <w:rPr>
          <w:color w:val="auto"/>
          <w:sz w:val="24"/>
          <w:szCs w:val="24"/>
        </w:rPr>
        <w:t>mg/m</w:t>
      </w:r>
      <w:r>
        <w:rPr>
          <w:color w:val="auto"/>
          <w:sz w:val="24"/>
          <w:szCs w:val="24"/>
          <w:vertAlign w:val="superscript"/>
        </w:rPr>
        <w:t>3</w:t>
      </w:r>
      <w:r>
        <w:rPr>
          <w:rFonts w:hint="eastAsia"/>
          <w:color w:val="auto"/>
          <w:sz w:val="24"/>
          <w:szCs w:val="24"/>
        </w:rPr>
        <w:t>、排放速率为0.0518</w:t>
      </w:r>
      <w:r>
        <w:rPr>
          <w:color w:val="auto"/>
          <w:sz w:val="24"/>
          <w:szCs w:val="24"/>
        </w:rPr>
        <w:t>kg/h</w:t>
      </w:r>
      <w:r>
        <w:rPr>
          <w:rFonts w:hint="eastAsia"/>
          <w:color w:val="auto"/>
          <w:sz w:val="24"/>
          <w:szCs w:val="24"/>
        </w:rPr>
        <w:t>。</w:t>
      </w:r>
    </w:p>
    <w:p>
      <w:pPr>
        <w:spacing w:line="360" w:lineRule="auto"/>
        <w:ind w:firstLine="480" w:firstLineChars="200"/>
        <w:contextualSpacing/>
        <w:rPr>
          <w:sz w:val="24"/>
          <w:szCs w:val="24"/>
        </w:rPr>
      </w:pPr>
      <w:r>
        <w:rPr>
          <w:rFonts w:hint="eastAsia"/>
          <w:sz w:val="24"/>
          <w:szCs w:val="24"/>
        </w:rPr>
        <w:t>氯气、氯化氢两天最大实测浓度均满足《石油化学工业污染物排放标准》（GB31571-2015）表4中相关要求。</w:t>
      </w:r>
      <w:r>
        <w:rPr>
          <w:sz w:val="24"/>
          <w:szCs w:val="24"/>
        </w:rPr>
        <w:t>VOCs（以非甲烷总烃计）</w:t>
      </w:r>
      <w:r>
        <w:rPr>
          <w:rFonts w:hint="eastAsia"/>
          <w:sz w:val="24"/>
          <w:szCs w:val="24"/>
        </w:rPr>
        <w:t>《挥发性有机物排放标准 第6部分 有机化工行业》（DB37/ 2801.6-2018）中表1中II时段相关要求。</w:t>
      </w:r>
    </w:p>
    <w:p>
      <w:pPr>
        <w:spacing w:line="360" w:lineRule="auto"/>
        <w:ind w:firstLine="480" w:firstLineChars="200"/>
        <w:rPr>
          <w:rFonts w:hint="eastAsia" w:eastAsia="宋体"/>
          <w:sz w:val="24"/>
          <w:szCs w:val="24"/>
          <w:lang w:eastAsia="zh-CN"/>
        </w:rPr>
      </w:pPr>
      <w:r>
        <w:rPr>
          <w:rFonts w:hint="eastAsia"/>
          <w:color w:val="000000" w:themeColor="text1"/>
          <w:sz w:val="24"/>
          <w:szCs w:val="24"/>
          <w14:textFill>
            <w14:solidFill>
              <w14:schemeClr w14:val="tx1"/>
            </w14:solidFill>
          </w14:textFill>
        </w:rPr>
        <w:t>厂界无组织排放废气两天最大实测浓度分别为氯气0.09mg/m³、氯化氢0.</w:t>
      </w:r>
      <w:r>
        <w:rPr>
          <w:rFonts w:hint="eastAsia"/>
          <w:color w:val="000000" w:themeColor="text1"/>
          <w:sz w:val="24"/>
          <w:szCs w:val="24"/>
          <w:lang w:val="en-US" w:eastAsia="zh-CN"/>
          <w14:textFill>
            <w14:solidFill>
              <w14:schemeClr w14:val="tx1"/>
            </w14:solidFill>
          </w14:textFill>
        </w:rPr>
        <w:t>1</w:t>
      </w:r>
      <w:r>
        <w:rPr>
          <w:rFonts w:hint="eastAsia"/>
          <w:color w:val="000000" w:themeColor="text1"/>
          <w:sz w:val="24"/>
          <w:szCs w:val="24"/>
          <w14:textFill>
            <w14:solidFill>
              <w14:schemeClr w14:val="tx1"/>
            </w14:solidFill>
          </w14:textFill>
        </w:rPr>
        <w:t>7mg/m</w:t>
      </w:r>
      <w:r>
        <w:rPr>
          <w:rFonts w:hint="eastAsia"/>
          <w:color w:val="000000" w:themeColor="text1"/>
          <w:sz w:val="24"/>
          <w:szCs w:val="24"/>
          <w:vertAlign w:val="superscript"/>
          <w14:textFill>
            <w14:solidFill>
              <w14:schemeClr w14:val="tx1"/>
            </w14:solidFill>
          </w14:textFill>
        </w:rPr>
        <w:t>3</w:t>
      </w:r>
      <w:r>
        <w:rPr>
          <w:rFonts w:hint="eastAsia"/>
          <w:color w:val="000000" w:themeColor="text1"/>
          <w:sz w:val="24"/>
          <w:szCs w:val="24"/>
          <w14:textFill>
            <w14:solidFill>
              <w14:schemeClr w14:val="tx1"/>
            </w14:solidFill>
          </w14:textFill>
        </w:rPr>
        <w:t>、VOCs（以非甲烷总烃计）1.08mg/m</w:t>
      </w:r>
      <w:r>
        <w:rPr>
          <w:rFonts w:hint="eastAsia"/>
          <w:color w:val="000000" w:themeColor="text1"/>
          <w:sz w:val="24"/>
          <w:szCs w:val="24"/>
          <w:vertAlign w:val="superscript"/>
          <w14:textFill>
            <w14:solidFill>
              <w14:schemeClr w14:val="tx1"/>
            </w14:solidFill>
          </w14:textFill>
        </w:rPr>
        <w:t>3</w:t>
      </w:r>
      <w:r>
        <w:rPr>
          <w:rFonts w:hint="eastAsia"/>
          <w:color w:val="000000" w:themeColor="text1"/>
          <w:sz w:val="24"/>
          <w:szCs w:val="24"/>
          <w14:textFill>
            <w14:solidFill>
              <w14:schemeClr w14:val="tx1"/>
            </w14:solidFill>
          </w14:textFill>
        </w:rPr>
        <w:t>，氯气满足《大气污染物综合排放标准》 (GB16297-1996)表2中厂界浓度限值要求；氯化氢满足《石油化学工业污染物排放标准》(GB31571-2015) 表7要求；VOCs（以非甲烷总烃计）满足《挥发性有机物排放标准第6部分：有机化工行业》(DB37/2801.6- 2018)表3中的标准限值</w:t>
      </w:r>
      <w:r>
        <w:rPr>
          <w:rFonts w:hint="eastAsia"/>
          <w:color w:val="000000" w:themeColor="text1"/>
          <w:sz w:val="24"/>
          <w:szCs w:val="24"/>
          <w:lang w:eastAsia="zh-CN"/>
          <w14:textFill>
            <w14:solidFill>
              <w14:schemeClr w14:val="tx1"/>
            </w14:solidFill>
          </w14:textFill>
        </w:rPr>
        <w:t>；</w:t>
      </w:r>
      <w:r>
        <w:rPr>
          <w:rFonts w:hint="eastAsia"/>
          <w:sz w:val="24"/>
          <w:szCs w:val="24"/>
        </w:rPr>
        <w:t>装置区VOCs（以非甲烷总烃计）两天最大实测浓度为0.</w:t>
      </w:r>
      <w:r>
        <w:rPr>
          <w:rFonts w:hint="eastAsia"/>
          <w:sz w:val="24"/>
          <w:szCs w:val="24"/>
          <w:lang w:val="en-US" w:eastAsia="zh-CN"/>
        </w:rPr>
        <w:t>7</w:t>
      </w:r>
      <w:r>
        <w:rPr>
          <w:rFonts w:hint="eastAsia"/>
          <w:sz w:val="24"/>
          <w:szCs w:val="24"/>
        </w:rPr>
        <w:t>6</w:t>
      </w:r>
      <w:r>
        <w:rPr>
          <w:sz w:val="24"/>
          <w:szCs w:val="24"/>
        </w:rPr>
        <w:t>mg/</w:t>
      </w:r>
      <w:r>
        <w:rPr>
          <w:rFonts w:hint="eastAsia"/>
          <w:sz w:val="24"/>
          <w:szCs w:val="24"/>
        </w:rPr>
        <w:t>m</w:t>
      </w:r>
      <w:r>
        <w:rPr>
          <w:sz w:val="24"/>
          <w:szCs w:val="24"/>
          <w:vertAlign w:val="superscript"/>
        </w:rPr>
        <w:t>3</w:t>
      </w:r>
      <w:r>
        <w:rPr>
          <w:rFonts w:hint="eastAsia"/>
          <w:sz w:val="24"/>
          <w:szCs w:val="24"/>
          <w:vertAlign w:val="baseline"/>
          <w:lang w:eastAsia="zh-CN"/>
        </w:rPr>
        <w:t>，</w:t>
      </w:r>
      <w:r>
        <w:rPr>
          <w:rFonts w:hint="eastAsia"/>
          <w:sz w:val="24"/>
          <w:szCs w:val="24"/>
        </w:rPr>
        <w:t>满足厂区内VOCs无组织排放满足《挥发性有机物无组织排放控制标准》（GB37822-2019）中相关标准</w:t>
      </w:r>
      <w:r>
        <w:rPr>
          <w:rFonts w:hint="eastAsia"/>
          <w:sz w:val="24"/>
          <w:szCs w:val="24"/>
          <w:lang w:eastAsia="zh-CN"/>
        </w:rPr>
        <w:t>。</w:t>
      </w:r>
    </w:p>
    <w:p>
      <w:pPr>
        <w:pStyle w:val="11"/>
      </w:pPr>
      <w:bookmarkStart w:id="105" w:name="_Toc11766"/>
      <w:r>
        <w:t>10.3.2 噪声</w:t>
      </w:r>
      <w:bookmarkEnd w:id="105"/>
    </w:p>
    <w:p>
      <w:pPr>
        <w:spacing w:line="360" w:lineRule="auto"/>
        <w:ind w:firstLine="480" w:firstLineChars="200"/>
        <w:contextualSpacing/>
        <w:rPr>
          <w:sz w:val="24"/>
          <w:szCs w:val="24"/>
        </w:rPr>
      </w:pPr>
      <w:bookmarkStart w:id="106" w:name="_Toc85"/>
      <w:bookmarkStart w:id="107" w:name="_Toc1544051"/>
      <w:r>
        <w:rPr>
          <w:sz w:val="24"/>
          <w:szCs w:val="24"/>
        </w:rPr>
        <w:t>验收监测期间，东、南、西、北厂界昼间最大值分别为5</w:t>
      </w:r>
      <w:r>
        <w:rPr>
          <w:rFonts w:hint="eastAsia"/>
          <w:sz w:val="24"/>
          <w:szCs w:val="24"/>
        </w:rPr>
        <w:t>7</w:t>
      </w:r>
      <w:r>
        <w:rPr>
          <w:sz w:val="24"/>
          <w:szCs w:val="24"/>
        </w:rPr>
        <w:t>dB（A）、5</w:t>
      </w:r>
      <w:r>
        <w:rPr>
          <w:rFonts w:hint="eastAsia"/>
          <w:sz w:val="24"/>
          <w:szCs w:val="24"/>
        </w:rPr>
        <w:t>6</w:t>
      </w:r>
      <w:r>
        <w:rPr>
          <w:sz w:val="24"/>
          <w:szCs w:val="24"/>
        </w:rPr>
        <w:t>dB（A）、5</w:t>
      </w:r>
      <w:r>
        <w:rPr>
          <w:rFonts w:hint="eastAsia"/>
          <w:sz w:val="24"/>
          <w:szCs w:val="24"/>
        </w:rPr>
        <w:t>7</w:t>
      </w:r>
      <w:r>
        <w:rPr>
          <w:sz w:val="24"/>
          <w:szCs w:val="24"/>
        </w:rPr>
        <w:t>dB（A）、5</w:t>
      </w:r>
      <w:r>
        <w:rPr>
          <w:rFonts w:hint="eastAsia"/>
          <w:sz w:val="24"/>
          <w:szCs w:val="24"/>
        </w:rPr>
        <w:t>8</w:t>
      </w:r>
      <w:r>
        <w:rPr>
          <w:sz w:val="24"/>
          <w:szCs w:val="24"/>
        </w:rPr>
        <w:t>dB（A），东、南、西、北厂界夜间最大值分别为4</w:t>
      </w:r>
      <w:r>
        <w:rPr>
          <w:rFonts w:hint="eastAsia"/>
          <w:sz w:val="24"/>
          <w:szCs w:val="24"/>
        </w:rPr>
        <w:t>9</w:t>
      </w:r>
      <w:r>
        <w:rPr>
          <w:sz w:val="24"/>
          <w:szCs w:val="24"/>
        </w:rPr>
        <w:t>dB（A）、4</w:t>
      </w:r>
      <w:r>
        <w:rPr>
          <w:rFonts w:hint="eastAsia"/>
          <w:sz w:val="24"/>
          <w:szCs w:val="24"/>
        </w:rPr>
        <w:t>6</w:t>
      </w:r>
      <w:r>
        <w:rPr>
          <w:sz w:val="24"/>
          <w:szCs w:val="24"/>
        </w:rPr>
        <w:t>dB（A）、</w:t>
      </w:r>
      <w:r>
        <w:rPr>
          <w:rFonts w:hint="eastAsia"/>
          <w:sz w:val="24"/>
          <w:szCs w:val="24"/>
        </w:rPr>
        <w:t>44</w:t>
      </w:r>
      <w:r>
        <w:rPr>
          <w:sz w:val="24"/>
          <w:szCs w:val="24"/>
        </w:rPr>
        <w:t>dB（A）、4</w:t>
      </w:r>
      <w:r>
        <w:rPr>
          <w:rFonts w:hint="eastAsia"/>
          <w:sz w:val="24"/>
          <w:szCs w:val="24"/>
        </w:rPr>
        <w:t>5</w:t>
      </w:r>
      <w:r>
        <w:rPr>
          <w:sz w:val="24"/>
          <w:szCs w:val="24"/>
        </w:rPr>
        <w:t>dB（A），各厂界噪声昼夜测量值均满足《工业企业厂界环境噪声排放标准》（GB12348-2008）中3类区标准要求</w:t>
      </w:r>
      <w:r>
        <w:rPr>
          <w:rFonts w:hint="eastAsia"/>
          <w:sz w:val="24"/>
          <w:szCs w:val="24"/>
        </w:rPr>
        <w:t>。</w:t>
      </w:r>
    </w:p>
    <w:bookmarkEnd w:id="106"/>
    <w:bookmarkEnd w:id="107"/>
    <w:p>
      <w:pPr>
        <w:pStyle w:val="11"/>
      </w:pPr>
      <w:bookmarkStart w:id="108" w:name="_Toc24464"/>
      <w:r>
        <w:t>10.3.</w:t>
      </w:r>
      <w:r>
        <w:rPr>
          <w:rFonts w:hint="eastAsia"/>
        </w:rPr>
        <w:t>3</w:t>
      </w:r>
      <w:r>
        <w:t>固体废物</w:t>
      </w:r>
      <w:bookmarkEnd w:id="108"/>
    </w:p>
    <w:p>
      <w:pPr>
        <w:pStyle w:val="23"/>
        <w:spacing w:line="360" w:lineRule="auto"/>
        <w:ind w:firstLine="480" w:firstLineChars="200"/>
        <w:contextualSpacing/>
        <w:jc w:val="left"/>
        <w:rPr>
          <w:color w:val="FF0000"/>
          <w:sz w:val="24"/>
          <w:szCs w:val="24"/>
        </w:rPr>
      </w:pPr>
      <w:bookmarkStart w:id="109" w:name="_Hlk142558130"/>
      <w:r>
        <w:rPr>
          <w:rFonts w:hint="eastAsia"/>
          <w:color w:val="000000" w:themeColor="text1"/>
          <w:sz w:val="24"/>
          <w:szCs w:val="24"/>
          <w14:textFill>
            <w14:solidFill>
              <w14:schemeClr w14:val="tx1"/>
            </w14:solidFill>
          </w14:textFill>
        </w:rPr>
        <w:t>本项目产生的固废</w:t>
      </w:r>
      <w:r>
        <w:rPr>
          <w:rFonts w:hint="eastAsia"/>
          <w:sz w:val="24"/>
          <w:szCs w:val="24"/>
        </w:rPr>
        <w:t>主要有生活垃圾、</w:t>
      </w:r>
      <w:r>
        <w:rPr>
          <w:rFonts w:hint="eastAsia"/>
          <w:color w:val="000000" w:themeColor="text1"/>
          <w:sz w:val="24"/>
          <w:szCs w:val="24"/>
          <w14:textFill>
            <w14:solidFill>
              <w14:schemeClr w14:val="tx1"/>
            </w14:solidFill>
          </w14:textFill>
        </w:rPr>
        <w:t>设备维护产生的废机油桶和废机</w:t>
      </w:r>
      <w:r>
        <w:rPr>
          <w:rFonts w:hint="eastAsia"/>
          <w:sz w:val="24"/>
          <w:szCs w:val="24"/>
        </w:rPr>
        <w:t>油。</w:t>
      </w:r>
    </w:p>
    <w:bookmarkEnd w:id="109"/>
    <w:p>
      <w:pPr>
        <w:pStyle w:val="10"/>
        <w:spacing w:line="360" w:lineRule="auto"/>
        <w:contextualSpacing/>
      </w:pPr>
      <w:bookmarkStart w:id="110" w:name="_Toc4292"/>
      <w:r>
        <w:t>10.4环保管理检查</w:t>
      </w:r>
      <w:bookmarkEnd w:id="110"/>
    </w:p>
    <w:p>
      <w:pPr>
        <w:spacing w:line="360" w:lineRule="auto"/>
        <w:ind w:firstLine="480" w:firstLineChars="200"/>
        <w:contextualSpacing/>
        <w:rPr>
          <w:sz w:val="24"/>
          <w:szCs w:val="24"/>
        </w:rPr>
      </w:pPr>
      <w:r>
        <w:rPr>
          <w:sz w:val="24"/>
          <w:szCs w:val="24"/>
        </w:rPr>
        <w:t>企业成立了环保领导小组，建立了环境应急物资、应急设施维护等管理制度。</w:t>
      </w:r>
    </w:p>
    <w:p>
      <w:pPr>
        <w:pStyle w:val="10"/>
        <w:spacing w:line="360" w:lineRule="auto"/>
        <w:contextualSpacing/>
      </w:pPr>
      <w:bookmarkStart w:id="111" w:name="_Toc25164"/>
      <w:r>
        <w:t>10.5环境风险及应急措施检查</w:t>
      </w:r>
      <w:bookmarkEnd w:id="111"/>
    </w:p>
    <w:p>
      <w:pPr>
        <w:spacing w:line="360" w:lineRule="auto"/>
        <w:ind w:firstLine="480" w:firstLineChars="200"/>
        <w:contextualSpacing/>
        <w:rPr>
          <w:sz w:val="24"/>
          <w:szCs w:val="24"/>
        </w:rPr>
      </w:pPr>
      <w:r>
        <w:rPr>
          <w:sz w:val="24"/>
          <w:szCs w:val="24"/>
        </w:rPr>
        <w:t>该企业制定了突发环境事故应急预案，并在潍坊市生态环境局寿光分局备案。</w:t>
      </w:r>
    </w:p>
    <w:p>
      <w:pPr>
        <w:pStyle w:val="10"/>
        <w:spacing w:line="360" w:lineRule="auto"/>
        <w:contextualSpacing/>
      </w:pPr>
      <w:bookmarkStart w:id="112" w:name="_Toc22712"/>
      <w:r>
        <w:t>10.6结论</w:t>
      </w:r>
      <w:bookmarkEnd w:id="112"/>
    </w:p>
    <w:p>
      <w:pPr>
        <w:spacing w:line="360" w:lineRule="auto"/>
        <w:ind w:firstLine="460" w:firstLineChars="200"/>
        <w:contextualSpacing/>
        <w:rPr>
          <w:color w:val="FF0000"/>
          <w:sz w:val="24"/>
          <w:szCs w:val="24"/>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color w:val="000000"/>
          <w:spacing w:val="-5"/>
          <w:sz w:val="24"/>
          <w:szCs w:val="24"/>
        </w:rPr>
        <w:t>本工程环境保护手续齐全，基本落实了环评文件及批复中的各项环保要求，在实施</w:t>
      </w:r>
      <w:r>
        <w:rPr>
          <w:color w:val="000000"/>
          <w:spacing w:val="-6"/>
          <w:sz w:val="24"/>
          <w:szCs w:val="24"/>
        </w:rPr>
        <w:t>过程中基本按照要求配套建设了相应的环境保护设施，各类污染物达标排放，符合建设项目竣工环境保护验收条件，建议通过建设项目竣工环</w:t>
      </w:r>
      <w:r>
        <w:rPr>
          <w:spacing w:val="-6"/>
          <w:sz w:val="24"/>
          <w:szCs w:val="24"/>
        </w:rPr>
        <w:t>境保护验收</w:t>
      </w:r>
      <w:r>
        <w:rPr>
          <w:sz w:val="24"/>
          <w:szCs w:val="24"/>
        </w:rPr>
        <w:t>。</w:t>
      </w:r>
    </w:p>
    <w:p>
      <w:pPr>
        <w:pStyle w:val="23"/>
        <w:spacing w:line="360" w:lineRule="auto"/>
        <w:ind w:firstLine="200"/>
        <w:sectPr>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jc w:val="center"/>
        <w:rPr>
          <w:b/>
          <w:bCs/>
          <w:sz w:val="24"/>
          <w:szCs w:val="24"/>
        </w:rPr>
      </w:pPr>
      <w:r>
        <w:rPr>
          <w:b/>
          <w:bCs/>
          <w:sz w:val="24"/>
          <w:szCs w:val="24"/>
        </w:rPr>
        <w:t>建设项目工程竣工环境保护“三同时”验收登记表</w:t>
      </w:r>
    </w:p>
    <w:p>
      <w:pPr>
        <w:rPr>
          <w:sz w:val="18"/>
          <w:szCs w:val="18"/>
        </w:rPr>
      </w:pPr>
      <w:r>
        <w:rPr>
          <w:sz w:val="18"/>
          <w:szCs w:val="18"/>
        </w:rPr>
        <w:t>填表单位（盖章）：山东潍科检测服务有限公司                           填表人：</w:t>
      </w:r>
      <w:r>
        <w:rPr>
          <w:rFonts w:hint="eastAsia"/>
          <w:sz w:val="18"/>
          <w:szCs w:val="18"/>
        </w:rPr>
        <w:t>董立霞</w:t>
      </w:r>
      <w:r>
        <w:rPr>
          <w:sz w:val="18"/>
          <w:szCs w:val="18"/>
        </w:rPr>
        <w:t xml:space="preserve">                                                  项目经办人：</w:t>
      </w:r>
      <w:r>
        <w:rPr>
          <w:rFonts w:hint="eastAsia"/>
          <w:sz w:val="18"/>
          <w:szCs w:val="18"/>
        </w:rPr>
        <w:t>董立霞</w:t>
      </w:r>
    </w:p>
    <w:tbl>
      <w:tblPr>
        <w:tblStyle w:val="39"/>
        <w:tblW w:w="14956" w:type="dxa"/>
        <w:jc w:val="center"/>
        <w:tblLayout w:type="fixed"/>
        <w:tblCellMar>
          <w:top w:w="0" w:type="dxa"/>
          <w:left w:w="0" w:type="dxa"/>
          <w:bottom w:w="0" w:type="dxa"/>
          <w:right w:w="0" w:type="dxa"/>
        </w:tblCellMar>
      </w:tblPr>
      <w:tblGrid>
        <w:gridCol w:w="426"/>
        <w:gridCol w:w="342"/>
        <w:gridCol w:w="802"/>
        <w:gridCol w:w="876"/>
        <w:gridCol w:w="656"/>
        <w:gridCol w:w="388"/>
        <w:gridCol w:w="658"/>
        <w:gridCol w:w="531"/>
        <w:gridCol w:w="306"/>
        <w:gridCol w:w="402"/>
        <w:gridCol w:w="265"/>
        <w:gridCol w:w="173"/>
        <w:gridCol w:w="959"/>
        <w:gridCol w:w="412"/>
        <w:gridCol w:w="318"/>
        <w:gridCol w:w="479"/>
        <w:gridCol w:w="891"/>
        <w:gridCol w:w="806"/>
        <w:gridCol w:w="375"/>
        <w:gridCol w:w="707"/>
        <w:gridCol w:w="112"/>
        <w:gridCol w:w="455"/>
        <w:gridCol w:w="454"/>
        <w:gridCol w:w="115"/>
        <w:gridCol w:w="992"/>
        <w:gridCol w:w="495"/>
        <w:gridCol w:w="212"/>
        <w:gridCol w:w="735"/>
        <w:gridCol w:w="614"/>
      </w:tblGrid>
      <w:tr>
        <w:tblPrEx>
          <w:tblCellMar>
            <w:top w:w="0" w:type="dxa"/>
            <w:left w:w="0" w:type="dxa"/>
            <w:bottom w:w="0" w:type="dxa"/>
            <w:right w:w="0" w:type="dxa"/>
          </w:tblCellMar>
        </w:tblPrEx>
        <w:trPr>
          <w:cantSplit/>
          <w:trHeight w:val="227" w:hRule="atLeast"/>
          <w:jc w:val="center"/>
        </w:trPr>
        <w:tc>
          <w:tcPr>
            <w:tcW w:w="426" w:type="dxa"/>
            <w:vMerge w:val="restart"/>
            <w:tcBorders>
              <w:top w:val="single" w:color="auto" w:sz="6" w:space="0"/>
              <w:left w:val="single" w:color="auto" w:sz="6" w:space="0"/>
              <w:bottom w:val="single" w:color="auto" w:sz="6" w:space="0"/>
              <w:right w:val="single" w:color="auto" w:sz="6" w:space="0"/>
            </w:tcBorders>
            <w:shd w:val="clear" w:color="auto" w:fill="FFFFFF"/>
            <w:tcMar>
              <w:top w:w="0" w:type="dxa"/>
              <w:left w:w="60" w:type="dxa"/>
              <w:bottom w:w="0" w:type="dxa"/>
              <w:right w:w="60" w:type="dxa"/>
            </w:tcMar>
            <w:vAlign w:val="center"/>
          </w:tcPr>
          <w:p>
            <w:pPr>
              <w:widowControl/>
              <w:ind w:left="120" w:right="120" w:firstLine="332"/>
              <w:jc w:val="center"/>
              <w:rPr>
                <w:color w:val="333333"/>
                <w:spacing w:val="8"/>
                <w:kern w:val="0"/>
                <w:sz w:val="15"/>
                <w:szCs w:val="15"/>
                <w:highlight w:val="yellow"/>
              </w:rPr>
            </w:pPr>
            <w:r>
              <w:rPr>
                <w:b/>
                <w:bCs/>
                <w:color w:val="333333"/>
                <w:spacing w:val="8"/>
                <w:kern w:val="0"/>
                <w:sz w:val="15"/>
                <w:szCs w:val="15"/>
                <w:highlight w:val="yellow"/>
              </w:rPr>
              <w:t>建</w:t>
            </w:r>
            <w:r>
              <w:rPr>
                <w:b/>
                <w:bCs/>
                <w:color w:val="333333"/>
                <w:spacing w:val="8"/>
                <w:kern w:val="0"/>
                <w:sz w:val="15"/>
                <w:szCs w:val="15"/>
              </w:rPr>
              <w:t>建设项目</w:t>
            </w:r>
          </w:p>
        </w:tc>
        <w:tc>
          <w:tcPr>
            <w:tcW w:w="2020" w:type="dxa"/>
            <w:gridSpan w:val="3"/>
            <w:tcBorders>
              <w:top w:val="single" w:color="auto" w:sz="6" w:space="0"/>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项目名称</w:t>
            </w:r>
          </w:p>
        </w:tc>
        <w:tc>
          <w:tcPr>
            <w:tcW w:w="2941" w:type="dxa"/>
            <w:gridSpan w:val="6"/>
            <w:tcBorders>
              <w:top w:val="single" w:color="auto" w:sz="6" w:space="0"/>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rFonts w:hint="eastAsia"/>
                <w:color w:val="333333"/>
                <w:spacing w:val="8"/>
                <w:kern w:val="0"/>
                <w:sz w:val="15"/>
                <w:szCs w:val="15"/>
              </w:rPr>
              <w:t>年产10万吨氯化石蜡项目</w:t>
            </w:r>
          </w:p>
        </w:tc>
        <w:tc>
          <w:tcPr>
            <w:tcW w:w="2127" w:type="dxa"/>
            <w:gridSpan w:val="5"/>
            <w:tcBorders>
              <w:top w:val="single" w:color="auto" w:sz="6" w:space="0"/>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rFonts w:hint="eastAsia"/>
                <w:b/>
                <w:bCs/>
                <w:color w:val="333333"/>
                <w:spacing w:val="8"/>
                <w:kern w:val="0"/>
                <w:sz w:val="15"/>
                <w:szCs w:val="15"/>
              </w:rPr>
              <w:t>项目代码</w:t>
            </w:r>
          </w:p>
        </w:tc>
        <w:tc>
          <w:tcPr>
            <w:tcW w:w="2551" w:type="dxa"/>
            <w:gridSpan w:val="4"/>
            <w:tcBorders>
              <w:top w:val="single" w:color="auto" w:sz="6" w:space="0"/>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color w:val="333333"/>
                <w:spacing w:val="8"/>
                <w:kern w:val="0"/>
                <w:sz w:val="15"/>
                <w:szCs w:val="15"/>
              </w:rPr>
              <w:t>C2</w:t>
            </w:r>
            <w:r>
              <w:rPr>
                <w:rFonts w:hint="eastAsia"/>
                <w:color w:val="333333"/>
                <w:spacing w:val="8"/>
                <w:kern w:val="0"/>
                <w:sz w:val="15"/>
                <w:szCs w:val="15"/>
              </w:rPr>
              <w:t>661</w:t>
            </w:r>
          </w:p>
        </w:tc>
        <w:tc>
          <w:tcPr>
            <w:tcW w:w="1843" w:type="dxa"/>
            <w:gridSpan w:val="5"/>
            <w:tcBorders>
              <w:top w:val="single" w:color="auto" w:sz="6" w:space="0"/>
              <w:left w:val="nil"/>
              <w:bottom w:val="single" w:color="auto" w:sz="6" w:space="0"/>
              <w:right w:val="single" w:color="auto" w:sz="4"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建设地点</w:t>
            </w:r>
          </w:p>
        </w:tc>
        <w:tc>
          <w:tcPr>
            <w:tcW w:w="3048" w:type="dxa"/>
            <w:gridSpan w:val="5"/>
            <w:tcBorders>
              <w:top w:val="single" w:color="auto" w:sz="6" w:space="0"/>
              <w:left w:val="nil"/>
              <w:bottom w:val="single" w:color="auto" w:sz="6" w:space="0"/>
              <w:right w:val="single" w:color="auto" w:sz="4" w:space="0"/>
            </w:tcBorders>
            <w:shd w:val="clear" w:color="auto" w:fill="FFFFFF"/>
            <w:vAlign w:val="center"/>
          </w:tcPr>
          <w:p>
            <w:pPr>
              <w:widowControl/>
              <w:spacing w:line="220" w:lineRule="exact"/>
              <w:jc w:val="center"/>
              <w:rPr>
                <w:sz w:val="15"/>
                <w:szCs w:val="15"/>
              </w:rPr>
            </w:pPr>
            <w:r>
              <w:rPr>
                <w:rFonts w:hint="eastAsia"/>
                <w:sz w:val="15"/>
                <w:szCs w:val="15"/>
              </w:rPr>
              <w:t>寿光侯镇化工产业园金源路以南，丰东路以东，与佰润新材（寿光）有限公司共用厂区</w:t>
            </w:r>
          </w:p>
        </w:tc>
      </w:tr>
      <w:tr>
        <w:tblPrEx>
          <w:tblCellMar>
            <w:top w:w="0" w:type="dxa"/>
            <w:left w:w="0" w:type="dxa"/>
            <w:bottom w:w="0" w:type="dxa"/>
            <w:right w:w="0" w:type="dxa"/>
          </w:tblCellMar>
        </w:tblPrEx>
        <w:trPr>
          <w:cantSplit/>
          <w:trHeight w:val="428" w:hRule="atLeast"/>
          <w:jc w:val="center"/>
        </w:trPr>
        <w:tc>
          <w:tcPr>
            <w:tcW w:w="426" w:type="dxa"/>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highlight w:val="yellow"/>
              </w:rPr>
            </w:pPr>
          </w:p>
        </w:tc>
        <w:tc>
          <w:tcPr>
            <w:tcW w:w="2020"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行业类别（分类管理名录）</w:t>
            </w:r>
          </w:p>
        </w:tc>
        <w:tc>
          <w:tcPr>
            <w:tcW w:w="2941" w:type="dxa"/>
            <w:gridSpan w:val="6"/>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rFonts w:hint="eastAsia"/>
                <w:color w:val="333333"/>
                <w:spacing w:val="8"/>
                <w:kern w:val="0"/>
                <w:sz w:val="15"/>
                <w:szCs w:val="15"/>
              </w:rPr>
              <w:t>化学试剂和助剂制造</w:t>
            </w:r>
          </w:p>
        </w:tc>
        <w:tc>
          <w:tcPr>
            <w:tcW w:w="2127"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建设性质</w:t>
            </w:r>
          </w:p>
        </w:tc>
        <w:tc>
          <w:tcPr>
            <w:tcW w:w="4394" w:type="dxa"/>
            <w:gridSpan w:val="9"/>
            <w:tcBorders>
              <w:top w:val="nil"/>
              <w:left w:val="nil"/>
              <w:bottom w:val="single" w:color="auto" w:sz="6" w:space="0"/>
              <w:right w:val="single" w:color="auto" w:sz="4"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rFonts w:asciiTheme="minorEastAsia" w:hAnsiTheme="minorEastAsia" w:eastAsiaTheme="minorEastAsia"/>
                <w:b/>
                <w:bCs/>
                <w:color w:val="333333"/>
                <w:spacing w:val="8"/>
                <w:kern w:val="0"/>
                <w:sz w:val="15"/>
                <w:szCs w:val="14"/>
              </w:rPr>
              <w:sym w:font="Symbol" w:char="F020"/>
            </w:r>
            <w:r>
              <w:rPr>
                <w:rFonts w:asciiTheme="minorEastAsia" w:hAnsiTheme="minorEastAsia" w:eastAsiaTheme="minorEastAsia"/>
                <w:b/>
                <w:bCs/>
                <w:color w:val="333333"/>
                <w:spacing w:val="8"/>
                <w:kern w:val="0"/>
                <w:sz w:val="15"/>
                <w:szCs w:val="15"/>
              </w:rPr>
              <w:sym w:font="Wingdings 2" w:char="0052"/>
            </w:r>
            <w:r>
              <w:rPr>
                <w:b/>
                <w:bCs/>
                <w:color w:val="333333"/>
                <w:spacing w:val="8"/>
                <w:kern w:val="0"/>
                <w:sz w:val="15"/>
                <w:szCs w:val="15"/>
              </w:rPr>
              <w:t>新建  </w:t>
            </w:r>
            <w:r>
              <w:rPr>
                <w:rFonts w:asciiTheme="minorEastAsia" w:hAnsiTheme="minorEastAsia" w:eastAsiaTheme="minorEastAsia"/>
                <w:b/>
                <w:bCs/>
                <w:color w:val="333333"/>
                <w:spacing w:val="8"/>
                <w:kern w:val="0"/>
                <w:sz w:val="15"/>
                <w:szCs w:val="15"/>
              </w:rPr>
              <w:t>□</w:t>
            </w:r>
            <w:r>
              <w:rPr>
                <w:b/>
                <w:bCs/>
                <w:color w:val="333333"/>
                <w:spacing w:val="8"/>
                <w:kern w:val="0"/>
                <w:sz w:val="15"/>
                <w:szCs w:val="15"/>
              </w:rPr>
              <w:t>改扩建 </w:t>
            </w:r>
            <w:r>
              <w:rPr>
                <w:rFonts w:asciiTheme="minorEastAsia" w:hAnsiTheme="minorEastAsia" w:eastAsiaTheme="minorEastAsia"/>
                <w:b/>
                <w:bCs/>
                <w:color w:val="333333"/>
                <w:spacing w:val="8"/>
                <w:kern w:val="0"/>
                <w:sz w:val="15"/>
                <w:szCs w:val="15"/>
              </w:rPr>
              <w:t xml:space="preserve"> □</w:t>
            </w:r>
            <w:r>
              <w:rPr>
                <w:b/>
                <w:bCs/>
                <w:color w:val="333333"/>
                <w:spacing w:val="8"/>
                <w:kern w:val="0"/>
                <w:sz w:val="15"/>
                <w:szCs w:val="15"/>
              </w:rPr>
              <w:t>技术改造</w:t>
            </w:r>
          </w:p>
        </w:tc>
        <w:tc>
          <w:tcPr>
            <w:tcW w:w="1487" w:type="dxa"/>
            <w:gridSpan w:val="2"/>
            <w:tcBorders>
              <w:top w:val="nil"/>
              <w:left w:val="single" w:color="auto" w:sz="4" w:space="0"/>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w w:val="90"/>
                <w:kern w:val="0"/>
                <w:sz w:val="15"/>
                <w:szCs w:val="15"/>
                <w:highlight w:val="yellow"/>
              </w:rPr>
            </w:pPr>
            <w:r>
              <w:rPr>
                <w:b/>
                <w:bCs/>
                <w:color w:val="333333"/>
                <w:spacing w:val="8"/>
                <w:w w:val="90"/>
                <w:kern w:val="0"/>
                <w:sz w:val="15"/>
                <w:szCs w:val="15"/>
              </w:rPr>
              <w:t>项目厂区中心经度/纬度</w:t>
            </w:r>
          </w:p>
        </w:tc>
        <w:tc>
          <w:tcPr>
            <w:tcW w:w="1561"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rPr>
                <w:b/>
                <w:bCs/>
                <w:color w:val="333333"/>
                <w:w w:val="90"/>
                <w:kern w:val="0"/>
                <w:sz w:val="13"/>
                <w:szCs w:val="13"/>
              </w:rPr>
            </w:pPr>
            <w:r>
              <w:rPr>
                <w:rFonts w:hint="eastAsia"/>
                <w:color w:val="333333"/>
                <w:spacing w:val="8"/>
                <w:kern w:val="0"/>
                <w:sz w:val="15"/>
                <w:szCs w:val="15"/>
              </w:rPr>
              <w:t>N36°53′12.55″ E118°51′10.94″</w:t>
            </w:r>
          </w:p>
        </w:tc>
      </w:tr>
      <w:tr>
        <w:tblPrEx>
          <w:tblCellMar>
            <w:top w:w="0" w:type="dxa"/>
            <w:left w:w="0" w:type="dxa"/>
            <w:bottom w:w="0" w:type="dxa"/>
            <w:right w:w="0" w:type="dxa"/>
          </w:tblCellMar>
        </w:tblPrEx>
        <w:trPr>
          <w:cantSplit/>
          <w:trHeight w:val="227" w:hRule="atLeast"/>
          <w:jc w:val="center"/>
        </w:trPr>
        <w:tc>
          <w:tcPr>
            <w:tcW w:w="426" w:type="dxa"/>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highlight w:val="yellow"/>
              </w:rPr>
            </w:pPr>
          </w:p>
        </w:tc>
        <w:tc>
          <w:tcPr>
            <w:tcW w:w="2020"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设计生产能力</w:t>
            </w:r>
          </w:p>
        </w:tc>
        <w:tc>
          <w:tcPr>
            <w:tcW w:w="2941" w:type="dxa"/>
            <w:gridSpan w:val="6"/>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spacing w:val="8"/>
                <w:kern w:val="0"/>
                <w:sz w:val="15"/>
                <w:szCs w:val="15"/>
              </w:rPr>
            </w:pPr>
            <w:r>
              <w:rPr>
                <w:rFonts w:hint="eastAsia"/>
                <w:sz w:val="15"/>
                <w:szCs w:val="15"/>
              </w:rPr>
              <w:t>10万吨</w:t>
            </w:r>
          </w:p>
        </w:tc>
        <w:tc>
          <w:tcPr>
            <w:tcW w:w="2127"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spacing w:val="8"/>
                <w:kern w:val="0"/>
                <w:sz w:val="15"/>
                <w:szCs w:val="15"/>
              </w:rPr>
            </w:pPr>
            <w:r>
              <w:rPr>
                <w:b/>
                <w:bCs/>
                <w:spacing w:val="8"/>
                <w:kern w:val="0"/>
                <w:sz w:val="15"/>
                <w:szCs w:val="15"/>
              </w:rPr>
              <w:t>实际生产能力</w:t>
            </w:r>
          </w:p>
        </w:tc>
        <w:tc>
          <w:tcPr>
            <w:tcW w:w="2551" w:type="dxa"/>
            <w:gridSpan w:val="4"/>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spacing w:val="8"/>
                <w:kern w:val="0"/>
                <w:sz w:val="15"/>
                <w:szCs w:val="15"/>
              </w:rPr>
            </w:pPr>
            <w:r>
              <w:rPr>
                <w:rFonts w:hint="eastAsia"/>
                <w:sz w:val="15"/>
                <w:szCs w:val="15"/>
              </w:rPr>
              <w:t>10万吨</w:t>
            </w:r>
          </w:p>
        </w:tc>
        <w:tc>
          <w:tcPr>
            <w:tcW w:w="1843"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环评单位</w:t>
            </w:r>
          </w:p>
        </w:tc>
        <w:tc>
          <w:tcPr>
            <w:tcW w:w="3048"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rFonts w:hint="eastAsia"/>
                <w:color w:val="333333"/>
                <w:spacing w:val="8"/>
                <w:kern w:val="0"/>
                <w:sz w:val="15"/>
                <w:szCs w:val="15"/>
              </w:rPr>
              <w:t>山东同方环境技术服务有限公司</w:t>
            </w:r>
          </w:p>
        </w:tc>
      </w:tr>
      <w:tr>
        <w:tblPrEx>
          <w:tblCellMar>
            <w:top w:w="0" w:type="dxa"/>
            <w:left w:w="0" w:type="dxa"/>
            <w:bottom w:w="0" w:type="dxa"/>
            <w:right w:w="0" w:type="dxa"/>
          </w:tblCellMar>
        </w:tblPrEx>
        <w:trPr>
          <w:cantSplit/>
          <w:trHeight w:val="227" w:hRule="atLeast"/>
          <w:jc w:val="center"/>
        </w:trPr>
        <w:tc>
          <w:tcPr>
            <w:tcW w:w="426" w:type="dxa"/>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highlight w:val="yellow"/>
              </w:rPr>
            </w:pPr>
          </w:p>
        </w:tc>
        <w:tc>
          <w:tcPr>
            <w:tcW w:w="2020"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环评文件审批机关</w:t>
            </w:r>
          </w:p>
        </w:tc>
        <w:tc>
          <w:tcPr>
            <w:tcW w:w="2941" w:type="dxa"/>
            <w:gridSpan w:val="6"/>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rFonts w:hint="eastAsia"/>
                <w:color w:val="333333"/>
                <w:spacing w:val="8"/>
                <w:kern w:val="0"/>
                <w:sz w:val="15"/>
                <w:szCs w:val="15"/>
              </w:rPr>
              <w:t>潍坊市生态环境局寿光分局</w:t>
            </w:r>
          </w:p>
        </w:tc>
        <w:tc>
          <w:tcPr>
            <w:tcW w:w="2127"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审批文号</w:t>
            </w:r>
          </w:p>
        </w:tc>
        <w:tc>
          <w:tcPr>
            <w:tcW w:w="2551" w:type="dxa"/>
            <w:gridSpan w:val="4"/>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rFonts w:hint="eastAsia"/>
                <w:color w:val="333333"/>
                <w:spacing w:val="8"/>
                <w:kern w:val="0"/>
                <w:sz w:val="15"/>
                <w:szCs w:val="15"/>
              </w:rPr>
              <w:t>寿环审字【2023】21号</w:t>
            </w:r>
          </w:p>
        </w:tc>
        <w:tc>
          <w:tcPr>
            <w:tcW w:w="1843"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环评文件类型</w:t>
            </w:r>
          </w:p>
        </w:tc>
        <w:tc>
          <w:tcPr>
            <w:tcW w:w="3048"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color w:val="333333"/>
                <w:spacing w:val="8"/>
                <w:kern w:val="0"/>
                <w:sz w:val="15"/>
                <w:szCs w:val="15"/>
              </w:rPr>
              <w:t>环境影响报告书</w:t>
            </w:r>
          </w:p>
        </w:tc>
      </w:tr>
      <w:tr>
        <w:tblPrEx>
          <w:tblCellMar>
            <w:top w:w="0" w:type="dxa"/>
            <w:left w:w="0" w:type="dxa"/>
            <w:bottom w:w="0" w:type="dxa"/>
            <w:right w:w="0" w:type="dxa"/>
          </w:tblCellMar>
        </w:tblPrEx>
        <w:trPr>
          <w:cantSplit/>
          <w:trHeight w:val="227" w:hRule="atLeast"/>
          <w:jc w:val="center"/>
        </w:trPr>
        <w:tc>
          <w:tcPr>
            <w:tcW w:w="426" w:type="dxa"/>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highlight w:val="yellow"/>
              </w:rPr>
            </w:pPr>
          </w:p>
        </w:tc>
        <w:tc>
          <w:tcPr>
            <w:tcW w:w="2020"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开工日期</w:t>
            </w:r>
          </w:p>
        </w:tc>
        <w:tc>
          <w:tcPr>
            <w:tcW w:w="2941" w:type="dxa"/>
            <w:gridSpan w:val="6"/>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0000FF"/>
                <w:spacing w:val="8"/>
                <w:kern w:val="0"/>
                <w:sz w:val="15"/>
                <w:szCs w:val="15"/>
              </w:rPr>
            </w:pPr>
            <w:r>
              <w:rPr>
                <w:color w:val="auto"/>
                <w:spacing w:val="8"/>
                <w:kern w:val="0"/>
                <w:sz w:val="15"/>
                <w:szCs w:val="15"/>
              </w:rPr>
              <w:t>20</w:t>
            </w:r>
            <w:r>
              <w:rPr>
                <w:rFonts w:hint="eastAsia"/>
                <w:color w:val="auto"/>
                <w:spacing w:val="8"/>
                <w:kern w:val="0"/>
                <w:sz w:val="15"/>
                <w:szCs w:val="15"/>
              </w:rPr>
              <w:t>23年</w:t>
            </w:r>
            <w:r>
              <w:rPr>
                <w:rFonts w:hint="eastAsia"/>
                <w:color w:val="auto"/>
                <w:spacing w:val="8"/>
                <w:kern w:val="0"/>
                <w:sz w:val="15"/>
                <w:szCs w:val="15"/>
                <w:lang w:val="en-US" w:eastAsia="zh-CN"/>
              </w:rPr>
              <w:t>12</w:t>
            </w:r>
            <w:r>
              <w:rPr>
                <w:rFonts w:hint="eastAsia"/>
                <w:color w:val="auto"/>
                <w:spacing w:val="8"/>
                <w:kern w:val="0"/>
                <w:sz w:val="15"/>
                <w:szCs w:val="15"/>
              </w:rPr>
              <w:t>月</w:t>
            </w:r>
          </w:p>
        </w:tc>
        <w:tc>
          <w:tcPr>
            <w:tcW w:w="2127"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auto"/>
                <w:spacing w:val="8"/>
                <w:kern w:val="0"/>
                <w:sz w:val="15"/>
                <w:szCs w:val="15"/>
              </w:rPr>
            </w:pPr>
            <w:r>
              <w:rPr>
                <w:b/>
                <w:bCs/>
                <w:color w:val="auto"/>
                <w:spacing w:val="8"/>
                <w:kern w:val="0"/>
                <w:sz w:val="15"/>
                <w:szCs w:val="15"/>
              </w:rPr>
              <w:t>竣工日期</w:t>
            </w:r>
          </w:p>
        </w:tc>
        <w:tc>
          <w:tcPr>
            <w:tcW w:w="2551" w:type="dxa"/>
            <w:gridSpan w:val="4"/>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auto"/>
                <w:spacing w:val="8"/>
                <w:kern w:val="0"/>
                <w:sz w:val="15"/>
                <w:szCs w:val="15"/>
              </w:rPr>
            </w:pPr>
            <w:r>
              <w:rPr>
                <w:rFonts w:hint="eastAsia"/>
                <w:color w:val="auto"/>
                <w:spacing w:val="8"/>
                <w:kern w:val="0"/>
                <w:sz w:val="15"/>
                <w:szCs w:val="15"/>
              </w:rPr>
              <w:t>20</w:t>
            </w:r>
            <w:r>
              <w:rPr>
                <w:rFonts w:hint="eastAsia"/>
                <w:color w:val="auto"/>
                <w:spacing w:val="8"/>
                <w:kern w:val="0"/>
                <w:sz w:val="15"/>
                <w:szCs w:val="15"/>
                <w:lang w:val="en-US" w:eastAsia="zh-CN"/>
              </w:rPr>
              <w:t>24</w:t>
            </w:r>
            <w:r>
              <w:rPr>
                <w:rFonts w:hint="eastAsia"/>
                <w:color w:val="auto"/>
                <w:spacing w:val="8"/>
                <w:kern w:val="0"/>
                <w:sz w:val="15"/>
                <w:szCs w:val="15"/>
              </w:rPr>
              <w:t>年</w:t>
            </w:r>
            <w:r>
              <w:rPr>
                <w:rFonts w:hint="eastAsia"/>
                <w:color w:val="auto"/>
                <w:spacing w:val="8"/>
                <w:kern w:val="0"/>
                <w:sz w:val="15"/>
                <w:szCs w:val="15"/>
                <w:lang w:val="en-US" w:eastAsia="zh-CN"/>
              </w:rPr>
              <w:t>4</w:t>
            </w:r>
            <w:r>
              <w:rPr>
                <w:rFonts w:hint="eastAsia"/>
                <w:color w:val="auto"/>
                <w:spacing w:val="8"/>
                <w:kern w:val="0"/>
                <w:sz w:val="15"/>
                <w:szCs w:val="15"/>
              </w:rPr>
              <w:t>月</w:t>
            </w:r>
          </w:p>
        </w:tc>
        <w:tc>
          <w:tcPr>
            <w:tcW w:w="1843"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排污许可证申领时间</w:t>
            </w:r>
          </w:p>
        </w:tc>
        <w:tc>
          <w:tcPr>
            <w:tcW w:w="3048"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spacing w:val="8"/>
                <w:kern w:val="0"/>
                <w:sz w:val="15"/>
                <w:szCs w:val="15"/>
                <w:highlight w:val="yellow"/>
              </w:rPr>
            </w:pPr>
            <w:r>
              <w:rPr>
                <w:rFonts w:hint="eastAsia"/>
                <w:spacing w:val="8"/>
                <w:kern w:val="0"/>
                <w:sz w:val="15"/>
                <w:szCs w:val="15"/>
              </w:rPr>
              <w:t>2024年4月25日</w:t>
            </w:r>
          </w:p>
        </w:tc>
      </w:tr>
      <w:tr>
        <w:tblPrEx>
          <w:tblCellMar>
            <w:top w:w="0" w:type="dxa"/>
            <w:left w:w="0" w:type="dxa"/>
            <w:bottom w:w="0" w:type="dxa"/>
            <w:right w:w="0" w:type="dxa"/>
          </w:tblCellMar>
        </w:tblPrEx>
        <w:trPr>
          <w:cantSplit/>
          <w:trHeight w:val="227" w:hRule="atLeast"/>
          <w:jc w:val="center"/>
        </w:trPr>
        <w:tc>
          <w:tcPr>
            <w:tcW w:w="426" w:type="dxa"/>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highlight w:val="yellow"/>
              </w:rPr>
            </w:pPr>
          </w:p>
        </w:tc>
        <w:tc>
          <w:tcPr>
            <w:tcW w:w="2020"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环保设施设计单位</w:t>
            </w:r>
          </w:p>
        </w:tc>
        <w:tc>
          <w:tcPr>
            <w:tcW w:w="2941" w:type="dxa"/>
            <w:gridSpan w:val="6"/>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color w:val="333333"/>
                <w:spacing w:val="8"/>
                <w:kern w:val="0"/>
                <w:sz w:val="15"/>
                <w:szCs w:val="15"/>
              </w:rPr>
              <w:t>/</w:t>
            </w:r>
          </w:p>
        </w:tc>
        <w:tc>
          <w:tcPr>
            <w:tcW w:w="2127"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环保设施施工单位</w:t>
            </w:r>
          </w:p>
        </w:tc>
        <w:tc>
          <w:tcPr>
            <w:tcW w:w="2551" w:type="dxa"/>
            <w:gridSpan w:val="4"/>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color w:val="333333"/>
                <w:spacing w:val="8"/>
                <w:kern w:val="0"/>
                <w:sz w:val="15"/>
                <w:szCs w:val="15"/>
              </w:rPr>
              <w:t>/</w:t>
            </w:r>
          </w:p>
        </w:tc>
        <w:tc>
          <w:tcPr>
            <w:tcW w:w="1843"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本工程排污许可证编号</w:t>
            </w:r>
          </w:p>
        </w:tc>
        <w:tc>
          <w:tcPr>
            <w:tcW w:w="3048"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spacing w:val="8"/>
                <w:kern w:val="0"/>
                <w:sz w:val="15"/>
                <w:szCs w:val="15"/>
              </w:rPr>
            </w:pPr>
            <w:r>
              <w:rPr>
                <w:rFonts w:hint="eastAsia"/>
                <w:spacing w:val="8"/>
                <w:kern w:val="0"/>
                <w:sz w:val="15"/>
                <w:szCs w:val="15"/>
              </w:rPr>
              <w:t>91370783MA3TWP7A8J001V</w:t>
            </w:r>
          </w:p>
        </w:tc>
      </w:tr>
      <w:tr>
        <w:tblPrEx>
          <w:tblCellMar>
            <w:top w:w="0" w:type="dxa"/>
            <w:left w:w="0" w:type="dxa"/>
            <w:bottom w:w="0" w:type="dxa"/>
            <w:right w:w="0" w:type="dxa"/>
          </w:tblCellMar>
        </w:tblPrEx>
        <w:trPr>
          <w:cantSplit/>
          <w:trHeight w:val="227" w:hRule="atLeast"/>
          <w:jc w:val="center"/>
        </w:trPr>
        <w:tc>
          <w:tcPr>
            <w:tcW w:w="426" w:type="dxa"/>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highlight w:val="yellow"/>
              </w:rPr>
            </w:pPr>
          </w:p>
        </w:tc>
        <w:tc>
          <w:tcPr>
            <w:tcW w:w="2020"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验收单位</w:t>
            </w:r>
          </w:p>
        </w:tc>
        <w:tc>
          <w:tcPr>
            <w:tcW w:w="2941" w:type="dxa"/>
            <w:gridSpan w:val="6"/>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color w:val="333333"/>
                <w:spacing w:val="8"/>
                <w:kern w:val="0"/>
                <w:sz w:val="15"/>
                <w:szCs w:val="15"/>
              </w:rPr>
              <w:t>山东潍科检测服务有限公司</w:t>
            </w:r>
          </w:p>
        </w:tc>
        <w:tc>
          <w:tcPr>
            <w:tcW w:w="2127"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环保设施监测单位</w:t>
            </w:r>
          </w:p>
        </w:tc>
        <w:tc>
          <w:tcPr>
            <w:tcW w:w="2551" w:type="dxa"/>
            <w:gridSpan w:val="4"/>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color w:val="333333"/>
                <w:spacing w:val="8"/>
                <w:kern w:val="0"/>
                <w:sz w:val="15"/>
                <w:szCs w:val="15"/>
              </w:rPr>
              <w:t>山东潍科检测服务有限公司</w:t>
            </w:r>
          </w:p>
        </w:tc>
        <w:tc>
          <w:tcPr>
            <w:tcW w:w="1843"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验收监测时工况</w:t>
            </w:r>
          </w:p>
        </w:tc>
        <w:tc>
          <w:tcPr>
            <w:tcW w:w="3048"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highlight w:val="yellow"/>
              </w:rPr>
            </w:pPr>
            <w:r>
              <w:rPr>
                <w:rFonts w:hint="eastAsia"/>
                <w:color w:val="333333"/>
                <w:spacing w:val="8"/>
                <w:kern w:val="0"/>
                <w:sz w:val="15"/>
                <w:szCs w:val="15"/>
              </w:rPr>
              <w:t>74.84%-99.81%</w:t>
            </w:r>
          </w:p>
        </w:tc>
      </w:tr>
      <w:tr>
        <w:tblPrEx>
          <w:tblCellMar>
            <w:top w:w="0" w:type="dxa"/>
            <w:left w:w="0" w:type="dxa"/>
            <w:bottom w:w="0" w:type="dxa"/>
            <w:right w:w="0" w:type="dxa"/>
          </w:tblCellMar>
        </w:tblPrEx>
        <w:trPr>
          <w:cantSplit/>
          <w:trHeight w:val="227" w:hRule="atLeast"/>
          <w:jc w:val="center"/>
        </w:trPr>
        <w:tc>
          <w:tcPr>
            <w:tcW w:w="426" w:type="dxa"/>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highlight w:val="yellow"/>
              </w:rPr>
            </w:pPr>
          </w:p>
        </w:tc>
        <w:tc>
          <w:tcPr>
            <w:tcW w:w="2020"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投资总概算（万元）</w:t>
            </w:r>
          </w:p>
        </w:tc>
        <w:tc>
          <w:tcPr>
            <w:tcW w:w="2941" w:type="dxa"/>
            <w:gridSpan w:val="6"/>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highlight w:val="yellow"/>
              </w:rPr>
            </w:pPr>
            <w:r>
              <w:rPr>
                <w:rFonts w:hint="eastAsia"/>
                <w:color w:val="333333"/>
                <w:spacing w:val="8"/>
                <w:kern w:val="0"/>
                <w:sz w:val="15"/>
                <w:szCs w:val="15"/>
              </w:rPr>
              <w:t>32000</w:t>
            </w:r>
          </w:p>
        </w:tc>
        <w:tc>
          <w:tcPr>
            <w:tcW w:w="2127"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环保投资总概算（万元）</w:t>
            </w:r>
          </w:p>
        </w:tc>
        <w:tc>
          <w:tcPr>
            <w:tcW w:w="2551" w:type="dxa"/>
            <w:gridSpan w:val="4"/>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rFonts w:hint="eastAsia"/>
                <w:color w:val="333333"/>
                <w:spacing w:val="8"/>
                <w:kern w:val="0"/>
                <w:sz w:val="15"/>
                <w:szCs w:val="15"/>
              </w:rPr>
              <w:t>1200</w:t>
            </w:r>
          </w:p>
        </w:tc>
        <w:tc>
          <w:tcPr>
            <w:tcW w:w="1843"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所占比例（%）</w:t>
            </w:r>
          </w:p>
        </w:tc>
        <w:tc>
          <w:tcPr>
            <w:tcW w:w="3048"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rFonts w:hint="eastAsia"/>
                <w:color w:val="333333"/>
                <w:spacing w:val="8"/>
                <w:kern w:val="0"/>
                <w:sz w:val="15"/>
                <w:szCs w:val="15"/>
              </w:rPr>
              <w:t>3.75</w:t>
            </w:r>
          </w:p>
        </w:tc>
      </w:tr>
      <w:tr>
        <w:tblPrEx>
          <w:tblCellMar>
            <w:top w:w="0" w:type="dxa"/>
            <w:left w:w="0" w:type="dxa"/>
            <w:bottom w:w="0" w:type="dxa"/>
            <w:right w:w="0" w:type="dxa"/>
          </w:tblCellMar>
        </w:tblPrEx>
        <w:trPr>
          <w:cantSplit/>
          <w:trHeight w:val="227" w:hRule="atLeast"/>
          <w:jc w:val="center"/>
        </w:trPr>
        <w:tc>
          <w:tcPr>
            <w:tcW w:w="426" w:type="dxa"/>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highlight w:val="yellow"/>
              </w:rPr>
            </w:pPr>
          </w:p>
        </w:tc>
        <w:tc>
          <w:tcPr>
            <w:tcW w:w="2020"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实际总投资</w:t>
            </w:r>
          </w:p>
        </w:tc>
        <w:tc>
          <w:tcPr>
            <w:tcW w:w="2941" w:type="dxa"/>
            <w:gridSpan w:val="6"/>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highlight w:val="yellow"/>
              </w:rPr>
            </w:pPr>
            <w:r>
              <w:rPr>
                <w:rFonts w:hint="eastAsia"/>
                <w:color w:val="333333"/>
                <w:spacing w:val="8"/>
                <w:kern w:val="0"/>
                <w:sz w:val="15"/>
                <w:szCs w:val="15"/>
              </w:rPr>
              <w:t>31180</w:t>
            </w:r>
          </w:p>
        </w:tc>
        <w:tc>
          <w:tcPr>
            <w:tcW w:w="2127"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right="300"/>
              <w:jc w:val="center"/>
              <w:rPr>
                <w:color w:val="333333"/>
                <w:spacing w:val="8"/>
                <w:kern w:val="0"/>
                <w:sz w:val="15"/>
                <w:szCs w:val="15"/>
              </w:rPr>
            </w:pPr>
            <w:r>
              <w:rPr>
                <w:b/>
                <w:bCs/>
                <w:color w:val="333333"/>
                <w:spacing w:val="8"/>
                <w:kern w:val="0"/>
                <w:sz w:val="15"/>
                <w:szCs w:val="15"/>
              </w:rPr>
              <w:t>实际环保投资（万元）</w:t>
            </w:r>
          </w:p>
        </w:tc>
        <w:tc>
          <w:tcPr>
            <w:tcW w:w="2551" w:type="dxa"/>
            <w:gridSpan w:val="4"/>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rFonts w:hint="eastAsia"/>
                <w:color w:val="333333"/>
                <w:spacing w:val="8"/>
                <w:kern w:val="0"/>
                <w:sz w:val="15"/>
                <w:szCs w:val="15"/>
              </w:rPr>
              <w:t>1200</w:t>
            </w:r>
          </w:p>
        </w:tc>
        <w:tc>
          <w:tcPr>
            <w:tcW w:w="1843"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所占比例（%）</w:t>
            </w:r>
          </w:p>
        </w:tc>
        <w:tc>
          <w:tcPr>
            <w:tcW w:w="3048" w:type="dxa"/>
            <w:gridSpan w:val="5"/>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rFonts w:hint="eastAsia"/>
                <w:color w:val="333333"/>
                <w:spacing w:val="8"/>
                <w:kern w:val="0"/>
                <w:sz w:val="15"/>
                <w:szCs w:val="15"/>
              </w:rPr>
              <w:t>3.85</w:t>
            </w:r>
          </w:p>
        </w:tc>
      </w:tr>
      <w:tr>
        <w:tblPrEx>
          <w:tblCellMar>
            <w:top w:w="0" w:type="dxa"/>
            <w:left w:w="0" w:type="dxa"/>
            <w:bottom w:w="0" w:type="dxa"/>
            <w:right w:w="0" w:type="dxa"/>
          </w:tblCellMar>
        </w:tblPrEx>
        <w:trPr>
          <w:cantSplit/>
          <w:trHeight w:val="170" w:hRule="atLeast"/>
          <w:jc w:val="center"/>
        </w:trPr>
        <w:tc>
          <w:tcPr>
            <w:tcW w:w="426" w:type="dxa"/>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highlight w:val="yellow"/>
              </w:rPr>
            </w:pPr>
          </w:p>
        </w:tc>
        <w:tc>
          <w:tcPr>
            <w:tcW w:w="2020"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b/>
                <w:bCs/>
                <w:color w:val="333333"/>
                <w:spacing w:val="8"/>
                <w:kern w:val="0"/>
                <w:sz w:val="15"/>
                <w:szCs w:val="15"/>
              </w:rPr>
              <w:t>废水治理（万元）</w:t>
            </w:r>
          </w:p>
        </w:tc>
        <w:tc>
          <w:tcPr>
            <w:tcW w:w="1044"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rFonts w:hint="eastAsia"/>
                <w:color w:val="333333"/>
                <w:spacing w:val="8"/>
                <w:kern w:val="0"/>
                <w:sz w:val="15"/>
                <w:szCs w:val="15"/>
              </w:rPr>
              <w:t>9</w:t>
            </w:r>
          </w:p>
        </w:tc>
        <w:tc>
          <w:tcPr>
            <w:tcW w:w="1495"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b/>
                <w:bCs/>
                <w:color w:val="333333"/>
                <w:spacing w:val="8"/>
                <w:kern w:val="0"/>
                <w:sz w:val="15"/>
                <w:szCs w:val="15"/>
              </w:rPr>
              <w:t>废气治理（万元）</w:t>
            </w:r>
          </w:p>
        </w:tc>
        <w:tc>
          <w:tcPr>
            <w:tcW w:w="840"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rFonts w:hint="eastAsia"/>
                <w:color w:val="333333"/>
                <w:spacing w:val="8"/>
                <w:kern w:val="0"/>
                <w:sz w:val="15"/>
                <w:szCs w:val="15"/>
              </w:rPr>
              <w:t>600</w:t>
            </w:r>
          </w:p>
        </w:tc>
        <w:tc>
          <w:tcPr>
            <w:tcW w:w="1371"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b/>
                <w:bCs/>
                <w:color w:val="333333"/>
                <w:spacing w:val="8"/>
                <w:kern w:val="0"/>
                <w:sz w:val="15"/>
                <w:szCs w:val="15"/>
              </w:rPr>
            </w:pPr>
            <w:r>
              <w:rPr>
                <w:b/>
                <w:bCs/>
                <w:color w:val="333333"/>
                <w:spacing w:val="8"/>
                <w:kern w:val="0"/>
                <w:sz w:val="15"/>
                <w:szCs w:val="15"/>
              </w:rPr>
              <w:t>噪声治理</w:t>
            </w:r>
          </w:p>
          <w:p>
            <w:pPr>
              <w:widowControl/>
              <w:jc w:val="center"/>
              <w:rPr>
                <w:color w:val="333333"/>
                <w:spacing w:val="8"/>
                <w:kern w:val="0"/>
                <w:sz w:val="15"/>
                <w:szCs w:val="15"/>
              </w:rPr>
            </w:pPr>
            <w:r>
              <w:rPr>
                <w:b/>
                <w:bCs/>
                <w:color w:val="333333"/>
                <w:spacing w:val="8"/>
                <w:kern w:val="0"/>
                <w:sz w:val="15"/>
                <w:szCs w:val="15"/>
              </w:rPr>
              <w:t>（万元）</w:t>
            </w:r>
          </w:p>
        </w:tc>
        <w:tc>
          <w:tcPr>
            <w:tcW w:w="1688"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rFonts w:hint="eastAsia"/>
                <w:color w:val="333333"/>
                <w:spacing w:val="8"/>
                <w:kern w:val="0"/>
                <w:sz w:val="15"/>
                <w:szCs w:val="15"/>
              </w:rPr>
              <w:t>90</w:t>
            </w:r>
          </w:p>
        </w:tc>
        <w:tc>
          <w:tcPr>
            <w:tcW w:w="1888"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b/>
                <w:bCs/>
                <w:color w:val="333333"/>
                <w:spacing w:val="8"/>
                <w:kern w:val="0"/>
                <w:sz w:val="15"/>
                <w:szCs w:val="15"/>
              </w:rPr>
              <w:t>固体废物治理（万元）</w:t>
            </w:r>
          </w:p>
        </w:tc>
        <w:tc>
          <w:tcPr>
            <w:tcW w:w="56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rFonts w:hint="eastAsia"/>
                <w:color w:val="333333"/>
                <w:spacing w:val="8"/>
                <w:kern w:val="0"/>
                <w:sz w:val="15"/>
                <w:szCs w:val="15"/>
              </w:rPr>
              <w:t>1</w:t>
            </w:r>
          </w:p>
        </w:tc>
        <w:tc>
          <w:tcPr>
            <w:tcW w:w="1561"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b/>
                <w:bCs/>
                <w:color w:val="333333"/>
                <w:spacing w:val="8"/>
                <w:kern w:val="0"/>
                <w:sz w:val="15"/>
                <w:szCs w:val="15"/>
              </w:rPr>
            </w:pPr>
            <w:r>
              <w:rPr>
                <w:b/>
                <w:bCs/>
                <w:color w:val="333333"/>
                <w:spacing w:val="8"/>
                <w:kern w:val="0"/>
                <w:sz w:val="15"/>
                <w:szCs w:val="15"/>
              </w:rPr>
              <w:t>绿化及生态</w:t>
            </w:r>
          </w:p>
          <w:p>
            <w:pPr>
              <w:widowControl/>
              <w:jc w:val="center"/>
              <w:rPr>
                <w:color w:val="333333"/>
                <w:spacing w:val="8"/>
                <w:kern w:val="0"/>
                <w:sz w:val="15"/>
                <w:szCs w:val="15"/>
              </w:rPr>
            </w:pPr>
            <w:r>
              <w:rPr>
                <w:b/>
                <w:bCs/>
                <w:color w:val="333333"/>
                <w:spacing w:val="8"/>
                <w:kern w:val="0"/>
                <w:sz w:val="15"/>
                <w:szCs w:val="15"/>
              </w:rPr>
              <w:t>（万元）</w:t>
            </w:r>
          </w:p>
        </w:tc>
        <w:tc>
          <w:tcPr>
            <w:tcW w:w="70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rFonts w:hint="eastAsia"/>
                <w:color w:val="333333"/>
                <w:spacing w:val="8"/>
                <w:kern w:val="0"/>
                <w:sz w:val="15"/>
                <w:szCs w:val="15"/>
              </w:rPr>
              <w:t>10</w:t>
            </w:r>
            <w:r>
              <w:rPr>
                <w:color w:val="333333"/>
                <w:spacing w:val="8"/>
                <w:kern w:val="0"/>
                <w:sz w:val="15"/>
                <w:szCs w:val="15"/>
              </w:rPr>
              <w:t>0</w:t>
            </w:r>
          </w:p>
        </w:tc>
        <w:tc>
          <w:tcPr>
            <w:tcW w:w="735"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b/>
                <w:bCs/>
                <w:color w:val="333333"/>
                <w:spacing w:val="8"/>
                <w:kern w:val="0"/>
                <w:sz w:val="15"/>
                <w:szCs w:val="15"/>
              </w:rPr>
              <w:t>其他（万元）</w:t>
            </w:r>
          </w:p>
        </w:tc>
        <w:tc>
          <w:tcPr>
            <w:tcW w:w="614"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rFonts w:hint="eastAsia"/>
                <w:color w:val="333333"/>
                <w:spacing w:val="8"/>
                <w:kern w:val="0"/>
                <w:sz w:val="15"/>
                <w:szCs w:val="15"/>
              </w:rPr>
              <w:t>400</w:t>
            </w:r>
          </w:p>
        </w:tc>
      </w:tr>
      <w:tr>
        <w:tblPrEx>
          <w:tblCellMar>
            <w:top w:w="0" w:type="dxa"/>
            <w:left w:w="0" w:type="dxa"/>
            <w:bottom w:w="0" w:type="dxa"/>
            <w:right w:w="0" w:type="dxa"/>
          </w:tblCellMar>
        </w:tblPrEx>
        <w:trPr>
          <w:cantSplit/>
          <w:trHeight w:val="170" w:hRule="atLeast"/>
          <w:jc w:val="center"/>
        </w:trPr>
        <w:tc>
          <w:tcPr>
            <w:tcW w:w="426" w:type="dxa"/>
            <w:vMerge w:val="continue"/>
            <w:tcBorders>
              <w:top w:val="single" w:color="auto" w:sz="6" w:space="0"/>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highlight w:val="yellow"/>
              </w:rPr>
            </w:pPr>
          </w:p>
        </w:tc>
        <w:tc>
          <w:tcPr>
            <w:tcW w:w="2020"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b/>
                <w:bCs/>
                <w:color w:val="333333"/>
                <w:spacing w:val="8"/>
                <w:kern w:val="0"/>
                <w:sz w:val="15"/>
                <w:szCs w:val="15"/>
              </w:rPr>
              <w:t>新增废水处理设施能力</w:t>
            </w:r>
          </w:p>
        </w:tc>
        <w:tc>
          <w:tcPr>
            <w:tcW w:w="2941" w:type="dxa"/>
            <w:gridSpan w:val="6"/>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color w:val="333333"/>
                <w:spacing w:val="8"/>
                <w:kern w:val="0"/>
                <w:sz w:val="15"/>
                <w:szCs w:val="15"/>
              </w:rPr>
              <w:t>/</w:t>
            </w:r>
          </w:p>
        </w:tc>
        <w:tc>
          <w:tcPr>
            <w:tcW w:w="2606" w:type="dxa"/>
            <w:gridSpan w:val="6"/>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b/>
                <w:bCs/>
                <w:color w:val="333333"/>
                <w:spacing w:val="8"/>
                <w:kern w:val="0"/>
                <w:sz w:val="15"/>
                <w:szCs w:val="15"/>
              </w:rPr>
              <w:t>新增废气处理设施能力</w:t>
            </w:r>
          </w:p>
        </w:tc>
        <w:tc>
          <w:tcPr>
            <w:tcW w:w="2072"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color w:val="333333"/>
                <w:spacing w:val="8"/>
                <w:kern w:val="0"/>
                <w:sz w:val="15"/>
                <w:szCs w:val="15"/>
              </w:rPr>
              <w:t>/</w:t>
            </w:r>
          </w:p>
        </w:tc>
        <w:tc>
          <w:tcPr>
            <w:tcW w:w="2835" w:type="dxa"/>
            <w:gridSpan w:val="6"/>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b/>
                <w:bCs/>
                <w:color w:val="333333"/>
                <w:spacing w:val="8"/>
                <w:kern w:val="0"/>
                <w:sz w:val="15"/>
                <w:szCs w:val="15"/>
              </w:rPr>
              <w:t>年平均工作时</w:t>
            </w:r>
          </w:p>
        </w:tc>
        <w:tc>
          <w:tcPr>
            <w:tcW w:w="2056" w:type="dxa"/>
            <w:gridSpan w:val="4"/>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highlight w:val="yellow"/>
              </w:rPr>
            </w:pPr>
            <w:r>
              <w:rPr>
                <w:color w:val="333333"/>
                <w:spacing w:val="8"/>
                <w:kern w:val="0"/>
                <w:sz w:val="15"/>
                <w:szCs w:val="15"/>
              </w:rPr>
              <w:t>72</w:t>
            </w:r>
            <w:r>
              <w:rPr>
                <w:rFonts w:hint="eastAsia"/>
                <w:color w:val="333333"/>
                <w:spacing w:val="8"/>
                <w:kern w:val="0"/>
                <w:sz w:val="15"/>
                <w:szCs w:val="15"/>
              </w:rPr>
              <w:t>90</w:t>
            </w:r>
          </w:p>
        </w:tc>
      </w:tr>
      <w:tr>
        <w:tblPrEx>
          <w:tblCellMar>
            <w:top w:w="0" w:type="dxa"/>
            <w:left w:w="0" w:type="dxa"/>
            <w:bottom w:w="0" w:type="dxa"/>
            <w:right w:w="0" w:type="dxa"/>
          </w:tblCellMar>
        </w:tblPrEx>
        <w:trPr>
          <w:cantSplit/>
          <w:trHeight w:val="170" w:hRule="atLeast"/>
          <w:jc w:val="center"/>
        </w:trPr>
        <w:tc>
          <w:tcPr>
            <w:tcW w:w="2446" w:type="dxa"/>
            <w:gridSpan w:val="4"/>
            <w:tcBorders>
              <w:top w:val="nil"/>
              <w:left w:val="single" w:color="auto" w:sz="6" w:space="0"/>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highlight w:val="yellow"/>
              </w:rPr>
            </w:pPr>
            <w:r>
              <w:rPr>
                <w:b/>
                <w:bCs/>
                <w:color w:val="333333"/>
                <w:spacing w:val="8"/>
                <w:kern w:val="0"/>
                <w:sz w:val="15"/>
                <w:szCs w:val="15"/>
              </w:rPr>
              <w:t>运营单位</w:t>
            </w:r>
          </w:p>
        </w:tc>
        <w:tc>
          <w:tcPr>
            <w:tcW w:w="2233" w:type="dxa"/>
            <w:gridSpan w:val="4"/>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highlight w:val="yellow"/>
              </w:rPr>
            </w:pPr>
            <w:r>
              <w:rPr>
                <w:rFonts w:hint="eastAsia"/>
                <w:color w:val="333333"/>
                <w:spacing w:val="8"/>
                <w:kern w:val="0"/>
                <w:sz w:val="15"/>
                <w:szCs w:val="15"/>
              </w:rPr>
              <w:t>佰润新材（寿光）有限公司</w:t>
            </w:r>
          </w:p>
        </w:tc>
        <w:tc>
          <w:tcPr>
            <w:tcW w:w="3314" w:type="dxa"/>
            <w:gridSpan w:val="8"/>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w w:val="90"/>
                <w:kern w:val="0"/>
                <w:sz w:val="15"/>
                <w:szCs w:val="15"/>
              </w:rPr>
            </w:pPr>
            <w:r>
              <w:rPr>
                <w:b/>
                <w:bCs/>
                <w:color w:val="333333"/>
                <w:spacing w:val="8"/>
                <w:w w:val="90"/>
                <w:kern w:val="0"/>
                <w:sz w:val="15"/>
                <w:szCs w:val="15"/>
              </w:rPr>
              <w:t>运营单位社会统一信用代码（或组织机构代码）</w:t>
            </w:r>
          </w:p>
        </w:tc>
        <w:tc>
          <w:tcPr>
            <w:tcW w:w="2072"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rPr>
            </w:pPr>
            <w:r>
              <w:rPr>
                <w:rFonts w:hint="eastAsia"/>
                <w:color w:val="333333"/>
                <w:spacing w:val="8"/>
                <w:kern w:val="0"/>
                <w:sz w:val="15"/>
                <w:szCs w:val="15"/>
              </w:rPr>
              <w:t>91370783MA3TWP7A8J</w:t>
            </w:r>
          </w:p>
        </w:tc>
        <w:tc>
          <w:tcPr>
            <w:tcW w:w="2835" w:type="dxa"/>
            <w:gridSpan w:val="6"/>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highlight w:val="yellow"/>
              </w:rPr>
            </w:pPr>
            <w:r>
              <w:rPr>
                <w:b/>
                <w:bCs/>
                <w:spacing w:val="8"/>
                <w:kern w:val="0"/>
                <w:sz w:val="15"/>
                <w:szCs w:val="15"/>
              </w:rPr>
              <w:t>验收时间</w:t>
            </w:r>
          </w:p>
        </w:tc>
        <w:tc>
          <w:tcPr>
            <w:tcW w:w="2056" w:type="dxa"/>
            <w:gridSpan w:val="4"/>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color w:val="333333"/>
                <w:spacing w:val="8"/>
                <w:kern w:val="0"/>
                <w:sz w:val="15"/>
                <w:szCs w:val="15"/>
                <w:highlight w:val="yellow"/>
              </w:rPr>
            </w:pPr>
            <w:r>
              <w:rPr>
                <w:rFonts w:hint="eastAsia"/>
                <w:color w:val="333333"/>
                <w:spacing w:val="8"/>
                <w:kern w:val="0"/>
                <w:sz w:val="15"/>
                <w:szCs w:val="15"/>
              </w:rPr>
              <w:t>2024.6.13、2024.6.15</w:t>
            </w:r>
          </w:p>
        </w:tc>
      </w:tr>
      <w:tr>
        <w:tblPrEx>
          <w:tblCellMar>
            <w:top w:w="0" w:type="dxa"/>
            <w:left w:w="0" w:type="dxa"/>
            <w:bottom w:w="0" w:type="dxa"/>
            <w:right w:w="0" w:type="dxa"/>
          </w:tblCellMar>
        </w:tblPrEx>
        <w:trPr>
          <w:cantSplit/>
          <w:trHeight w:val="170" w:hRule="atLeast"/>
          <w:jc w:val="center"/>
        </w:trPr>
        <w:tc>
          <w:tcPr>
            <w:tcW w:w="768" w:type="dxa"/>
            <w:gridSpan w:val="2"/>
            <w:vMerge w:val="restart"/>
            <w:tcBorders>
              <w:top w:val="nil"/>
              <w:left w:val="single" w:color="auto" w:sz="6" w:space="0"/>
              <w:bottom w:val="single" w:color="auto" w:sz="6" w:space="0"/>
              <w:right w:val="single" w:color="auto" w:sz="6" w:space="0"/>
            </w:tcBorders>
            <w:shd w:val="clear" w:color="auto" w:fill="FFFFFF"/>
            <w:tcMar>
              <w:top w:w="0" w:type="dxa"/>
              <w:left w:w="60" w:type="dxa"/>
              <w:bottom w:w="0" w:type="dxa"/>
              <w:right w:w="60" w:type="dxa"/>
            </w:tcMar>
            <w:vAlign w:val="center"/>
          </w:tcPr>
          <w:p>
            <w:pPr>
              <w:widowControl/>
              <w:jc w:val="center"/>
              <w:rPr>
                <w:b/>
                <w:bCs/>
                <w:color w:val="333333"/>
                <w:spacing w:val="8"/>
                <w:kern w:val="0"/>
                <w:sz w:val="15"/>
                <w:szCs w:val="15"/>
              </w:rPr>
            </w:pPr>
            <w:r>
              <w:rPr>
                <w:b/>
                <w:bCs/>
                <w:color w:val="333333"/>
                <w:spacing w:val="8"/>
                <w:kern w:val="0"/>
                <w:sz w:val="15"/>
                <w:szCs w:val="15"/>
              </w:rPr>
              <w:t>污染物排放达标与总量控制（工业建设项目详填）</w:t>
            </w:r>
          </w:p>
        </w:tc>
        <w:tc>
          <w:tcPr>
            <w:tcW w:w="1678"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r>
              <w:rPr>
                <w:b/>
                <w:bCs/>
                <w:color w:val="333333"/>
                <w:spacing w:val="8"/>
                <w:kern w:val="0"/>
                <w:sz w:val="15"/>
                <w:szCs w:val="15"/>
              </w:rPr>
              <w:t>污染物</w:t>
            </w:r>
          </w:p>
        </w:tc>
        <w:tc>
          <w:tcPr>
            <w:tcW w:w="656"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原有排</w:t>
            </w:r>
          </w:p>
          <w:p>
            <w:pPr>
              <w:widowControl/>
              <w:spacing w:line="220" w:lineRule="exact"/>
              <w:jc w:val="center"/>
              <w:rPr>
                <w:color w:val="333333"/>
                <w:spacing w:val="8"/>
                <w:kern w:val="0"/>
                <w:sz w:val="15"/>
                <w:szCs w:val="15"/>
              </w:rPr>
            </w:pPr>
            <w:r>
              <w:rPr>
                <w:b/>
                <w:bCs/>
                <w:color w:val="333333"/>
                <w:spacing w:val="8"/>
                <w:kern w:val="0"/>
                <w:sz w:val="15"/>
                <w:szCs w:val="15"/>
              </w:rPr>
              <w:t>放量(1)</w:t>
            </w:r>
          </w:p>
        </w:tc>
        <w:tc>
          <w:tcPr>
            <w:tcW w:w="1046"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本期工程实际排放浓度(2)</w:t>
            </w:r>
          </w:p>
        </w:tc>
        <w:tc>
          <w:tcPr>
            <w:tcW w:w="83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本期工程允许排放浓度(3)</w:t>
            </w:r>
          </w:p>
        </w:tc>
        <w:tc>
          <w:tcPr>
            <w:tcW w:w="66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本期工程产生量(4)</w:t>
            </w:r>
          </w:p>
        </w:tc>
        <w:tc>
          <w:tcPr>
            <w:tcW w:w="1132"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本期工程自身削减量(5)</w:t>
            </w:r>
          </w:p>
        </w:tc>
        <w:tc>
          <w:tcPr>
            <w:tcW w:w="1209"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本期工程实际排放量(6)</w:t>
            </w:r>
          </w:p>
        </w:tc>
        <w:tc>
          <w:tcPr>
            <w:tcW w:w="169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本期工程核定排放总量(7)</w:t>
            </w:r>
          </w:p>
        </w:tc>
        <w:tc>
          <w:tcPr>
            <w:tcW w:w="1194"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本期工程“以新带老”削减量(8)</w:t>
            </w:r>
          </w:p>
        </w:tc>
        <w:tc>
          <w:tcPr>
            <w:tcW w:w="909"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全厂实际排放总量(9)</w:t>
            </w:r>
          </w:p>
        </w:tc>
        <w:tc>
          <w:tcPr>
            <w:tcW w:w="110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全厂核定排放总量(10)</w:t>
            </w:r>
          </w:p>
        </w:tc>
        <w:tc>
          <w:tcPr>
            <w:tcW w:w="1442"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区域平衡替代削减量(11)</w:t>
            </w:r>
          </w:p>
        </w:tc>
        <w:tc>
          <w:tcPr>
            <w:tcW w:w="614"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r>
              <w:rPr>
                <w:b/>
                <w:bCs/>
                <w:color w:val="333333"/>
                <w:spacing w:val="8"/>
                <w:kern w:val="0"/>
                <w:sz w:val="15"/>
                <w:szCs w:val="15"/>
              </w:rPr>
              <w:t>排放增减量(12)</w:t>
            </w:r>
          </w:p>
        </w:tc>
      </w:tr>
      <w:tr>
        <w:tblPrEx>
          <w:tblCellMar>
            <w:top w:w="0" w:type="dxa"/>
            <w:left w:w="0" w:type="dxa"/>
            <w:bottom w:w="0" w:type="dxa"/>
            <w:right w:w="0" w:type="dxa"/>
          </w:tblCellMar>
        </w:tblPrEx>
        <w:trPr>
          <w:cantSplit/>
          <w:trHeight w:val="170" w:hRule="atLeast"/>
          <w:jc w:val="center"/>
        </w:trPr>
        <w:tc>
          <w:tcPr>
            <w:tcW w:w="768" w:type="dxa"/>
            <w:gridSpan w:val="2"/>
            <w:vMerge w:val="continue"/>
            <w:tcBorders>
              <w:top w:val="nil"/>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rPr>
            </w:pPr>
          </w:p>
        </w:tc>
        <w:tc>
          <w:tcPr>
            <w:tcW w:w="1678"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b/>
                <w:bCs/>
                <w:color w:val="333333"/>
                <w:spacing w:val="8"/>
                <w:kern w:val="0"/>
                <w:sz w:val="15"/>
                <w:szCs w:val="15"/>
              </w:rPr>
            </w:pPr>
          </w:p>
        </w:tc>
        <w:tc>
          <w:tcPr>
            <w:tcW w:w="656"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046"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3"/>
                <w:szCs w:val="13"/>
                <w:highlight w:val="yellow"/>
              </w:rPr>
            </w:pPr>
          </w:p>
        </w:tc>
        <w:tc>
          <w:tcPr>
            <w:tcW w:w="83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3"/>
                <w:szCs w:val="13"/>
                <w:highlight w:val="yellow"/>
              </w:rPr>
            </w:pPr>
          </w:p>
        </w:tc>
        <w:tc>
          <w:tcPr>
            <w:tcW w:w="66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3"/>
                <w:szCs w:val="13"/>
                <w:highlight w:val="yellow"/>
              </w:rPr>
            </w:pPr>
          </w:p>
        </w:tc>
        <w:tc>
          <w:tcPr>
            <w:tcW w:w="1132"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209"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69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194"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909"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10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442"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614"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r>
      <w:tr>
        <w:tblPrEx>
          <w:tblCellMar>
            <w:top w:w="0" w:type="dxa"/>
            <w:left w:w="0" w:type="dxa"/>
            <w:bottom w:w="0" w:type="dxa"/>
            <w:right w:w="0" w:type="dxa"/>
          </w:tblCellMar>
        </w:tblPrEx>
        <w:trPr>
          <w:cantSplit/>
          <w:trHeight w:val="170" w:hRule="atLeast"/>
          <w:jc w:val="center"/>
        </w:trPr>
        <w:tc>
          <w:tcPr>
            <w:tcW w:w="768" w:type="dxa"/>
            <w:gridSpan w:val="2"/>
            <w:vMerge w:val="continue"/>
            <w:tcBorders>
              <w:top w:val="nil"/>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rPr>
            </w:pPr>
          </w:p>
        </w:tc>
        <w:tc>
          <w:tcPr>
            <w:tcW w:w="1678"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p>
        </w:tc>
        <w:tc>
          <w:tcPr>
            <w:tcW w:w="656"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046"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3"/>
                <w:szCs w:val="13"/>
              </w:rPr>
            </w:pPr>
          </w:p>
        </w:tc>
        <w:tc>
          <w:tcPr>
            <w:tcW w:w="83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3"/>
                <w:szCs w:val="13"/>
              </w:rPr>
            </w:pPr>
          </w:p>
        </w:tc>
        <w:tc>
          <w:tcPr>
            <w:tcW w:w="66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3"/>
                <w:szCs w:val="13"/>
              </w:rPr>
            </w:pPr>
          </w:p>
        </w:tc>
        <w:tc>
          <w:tcPr>
            <w:tcW w:w="1132"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209"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3"/>
                <w:szCs w:val="13"/>
              </w:rPr>
            </w:pPr>
          </w:p>
        </w:tc>
        <w:tc>
          <w:tcPr>
            <w:tcW w:w="169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3"/>
                <w:szCs w:val="13"/>
              </w:rPr>
            </w:pPr>
          </w:p>
        </w:tc>
        <w:tc>
          <w:tcPr>
            <w:tcW w:w="1194"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909"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10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442"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614"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3"/>
                <w:szCs w:val="13"/>
              </w:rPr>
            </w:pPr>
          </w:p>
        </w:tc>
      </w:tr>
      <w:tr>
        <w:tblPrEx>
          <w:tblCellMar>
            <w:top w:w="0" w:type="dxa"/>
            <w:left w:w="0" w:type="dxa"/>
            <w:bottom w:w="0" w:type="dxa"/>
            <w:right w:w="0" w:type="dxa"/>
          </w:tblCellMar>
        </w:tblPrEx>
        <w:trPr>
          <w:cantSplit/>
          <w:trHeight w:val="170" w:hRule="atLeast"/>
          <w:jc w:val="center"/>
        </w:trPr>
        <w:tc>
          <w:tcPr>
            <w:tcW w:w="768" w:type="dxa"/>
            <w:gridSpan w:val="2"/>
            <w:vMerge w:val="continue"/>
            <w:tcBorders>
              <w:top w:val="nil"/>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rPr>
            </w:pPr>
          </w:p>
        </w:tc>
        <w:tc>
          <w:tcPr>
            <w:tcW w:w="1678"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p>
        </w:tc>
        <w:tc>
          <w:tcPr>
            <w:tcW w:w="656"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046"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3"/>
                <w:szCs w:val="13"/>
              </w:rPr>
            </w:pPr>
          </w:p>
        </w:tc>
        <w:tc>
          <w:tcPr>
            <w:tcW w:w="83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3"/>
                <w:szCs w:val="13"/>
              </w:rPr>
            </w:pPr>
          </w:p>
        </w:tc>
        <w:tc>
          <w:tcPr>
            <w:tcW w:w="66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3"/>
                <w:szCs w:val="13"/>
              </w:rPr>
            </w:pPr>
          </w:p>
        </w:tc>
        <w:tc>
          <w:tcPr>
            <w:tcW w:w="1132"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209"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3"/>
                <w:szCs w:val="13"/>
              </w:rPr>
            </w:pPr>
          </w:p>
        </w:tc>
        <w:tc>
          <w:tcPr>
            <w:tcW w:w="169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3"/>
                <w:szCs w:val="13"/>
              </w:rPr>
            </w:pPr>
          </w:p>
        </w:tc>
        <w:tc>
          <w:tcPr>
            <w:tcW w:w="1194"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909"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10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442"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614"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3"/>
                <w:szCs w:val="13"/>
              </w:rPr>
            </w:pPr>
          </w:p>
        </w:tc>
      </w:tr>
      <w:tr>
        <w:tblPrEx>
          <w:tblCellMar>
            <w:top w:w="0" w:type="dxa"/>
            <w:left w:w="0" w:type="dxa"/>
            <w:bottom w:w="0" w:type="dxa"/>
            <w:right w:w="0" w:type="dxa"/>
          </w:tblCellMar>
        </w:tblPrEx>
        <w:trPr>
          <w:cantSplit/>
          <w:trHeight w:val="170" w:hRule="atLeast"/>
          <w:jc w:val="center"/>
        </w:trPr>
        <w:tc>
          <w:tcPr>
            <w:tcW w:w="768" w:type="dxa"/>
            <w:gridSpan w:val="2"/>
            <w:vMerge w:val="continue"/>
            <w:tcBorders>
              <w:top w:val="nil"/>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rPr>
            </w:pPr>
          </w:p>
        </w:tc>
        <w:tc>
          <w:tcPr>
            <w:tcW w:w="1678"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p>
        </w:tc>
        <w:tc>
          <w:tcPr>
            <w:tcW w:w="656"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046"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83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66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132"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209"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69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194"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909"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10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442"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614"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r>
      <w:tr>
        <w:tblPrEx>
          <w:tblCellMar>
            <w:top w:w="0" w:type="dxa"/>
            <w:left w:w="0" w:type="dxa"/>
            <w:bottom w:w="0" w:type="dxa"/>
            <w:right w:w="0" w:type="dxa"/>
          </w:tblCellMar>
        </w:tblPrEx>
        <w:trPr>
          <w:cantSplit/>
          <w:trHeight w:val="170" w:hRule="atLeast"/>
          <w:jc w:val="center"/>
        </w:trPr>
        <w:tc>
          <w:tcPr>
            <w:tcW w:w="768" w:type="dxa"/>
            <w:gridSpan w:val="2"/>
            <w:vMerge w:val="continue"/>
            <w:tcBorders>
              <w:top w:val="nil"/>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rPr>
            </w:pPr>
          </w:p>
        </w:tc>
        <w:tc>
          <w:tcPr>
            <w:tcW w:w="1678"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ind w:firstLine="332"/>
              <w:jc w:val="center"/>
              <w:rPr>
                <w:color w:val="333333"/>
                <w:spacing w:val="8"/>
                <w:kern w:val="0"/>
                <w:sz w:val="15"/>
                <w:szCs w:val="15"/>
              </w:rPr>
            </w:pPr>
          </w:p>
        </w:tc>
        <w:tc>
          <w:tcPr>
            <w:tcW w:w="656"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046"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83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66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1132"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1209"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169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1194"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909"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10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442"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614"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r>
      <w:tr>
        <w:tblPrEx>
          <w:tblCellMar>
            <w:top w:w="0" w:type="dxa"/>
            <w:left w:w="0" w:type="dxa"/>
            <w:bottom w:w="0" w:type="dxa"/>
            <w:right w:w="0" w:type="dxa"/>
          </w:tblCellMar>
        </w:tblPrEx>
        <w:trPr>
          <w:cantSplit/>
          <w:trHeight w:val="435" w:hRule="atLeast"/>
          <w:jc w:val="center"/>
        </w:trPr>
        <w:tc>
          <w:tcPr>
            <w:tcW w:w="768" w:type="dxa"/>
            <w:gridSpan w:val="2"/>
            <w:vMerge w:val="continue"/>
            <w:tcBorders>
              <w:top w:val="nil"/>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rPr>
            </w:pPr>
          </w:p>
        </w:tc>
        <w:tc>
          <w:tcPr>
            <w:tcW w:w="802" w:type="dxa"/>
            <w:vMerge w:val="restart"/>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b/>
                <w:bCs/>
                <w:color w:val="333333"/>
                <w:spacing w:val="8"/>
                <w:kern w:val="0"/>
                <w:sz w:val="15"/>
                <w:szCs w:val="15"/>
              </w:rPr>
              <w:t>与项目有关的其他特征污染物</w:t>
            </w:r>
          </w:p>
        </w:tc>
        <w:tc>
          <w:tcPr>
            <w:tcW w:w="876"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r>
              <w:rPr>
                <w:rFonts w:hint="eastAsia"/>
                <w:color w:val="333333"/>
                <w:spacing w:val="8"/>
                <w:kern w:val="0"/>
                <w:sz w:val="15"/>
                <w:szCs w:val="15"/>
              </w:rPr>
              <w:t>VOCs（非甲烷总烃）</w:t>
            </w:r>
          </w:p>
        </w:tc>
        <w:tc>
          <w:tcPr>
            <w:tcW w:w="656"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046"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83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66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132"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209"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69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1194"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none"/>
              </w:rPr>
            </w:pPr>
          </w:p>
        </w:tc>
        <w:tc>
          <w:tcPr>
            <w:tcW w:w="909"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rFonts w:hint="default" w:eastAsia="宋体"/>
                <w:color w:val="333333"/>
                <w:spacing w:val="8"/>
                <w:kern w:val="0"/>
                <w:sz w:val="15"/>
                <w:szCs w:val="15"/>
                <w:highlight w:val="none"/>
                <w:lang w:val="en-US" w:eastAsia="zh-CN"/>
              </w:rPr>
            </w:pPr>
            <w:r>
              <w:rPr>
                <w:rFonts w:hint="eastAsia"/>
                <w:color w:val="333333"/>
                <w:spacing w:val="8"/>
                <w:kern w:val="0"/>
                <w:sz w:val="15"/>
                <w:szCs w:val="15"/>
                <w:highlight w:val="none"/>
                <w:lang w:val="en-US" w:eastAsia="zh-CN"/>
              </w:rPr>
              <w:t>0.41</w:t>
            </w:r>
          </w:p>
        </w:tc>
        <w:tc>
          <w:tcPr>
            <w:tcW w:w="110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rFonts w:hint="default" w:eastAsia="宋体"/>
                <w:color w:val="333333"/>
                <w:spacing w:val="8"/>
                <w:kern w:val="0"/>
                <w:sz w:val="15"/>
                <w:szCs w:val="15"/>
                <w:highlight w:val="none"/>
                <w:lang w:val="en-US" w:eastAsia="zh-CN"/>
              </w:rPr>
            </w:pPr>
            <w:r>
              <w:rPr>
                <w:rFonts w:hint="eastAsia"/>
                <w:color w:val="333333"/>
                <w:spacing w:val="8"/>
                <w:kern w:val="0"/>
                <w:sz w:val="15"/>
                <w:szCs w:val="15"/>
                <w:highlight w:val="none"/>
                <w:lang w:val="en-US" w:eastAsia="zh-CN"/>
              </w:rPr>
              <w:t>0.72</w:t>
            </w:r>
          </w:p>
        </w:tc>
        <w:tc>
          <w:tcPr>
            <w:tcW w:w="1442"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c>
          <w:tcPr>
            <w:tcW w:w="614"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highlight w:val="yellow"/>
              </w:rPr>
            </w:pPr>
          </w:p>
        </w:tc>
      </w:tr>
      <w:tr>
        <w:tblPrEx>
          <w:tblCellMar>
            <w:top w:w="0" w:type="dxa"/>
            <w:left w:w="0" w:type="dxa"/>
            <w:bottom w:w="0" w:type="dxa"/>
            <w:right w:w="0" w:type="dxa"/>
          </w:tblCellMar>
        </w:tblPrEx>
        <w:trPr>
          <w:cantSplit/>
          <w:trHeight w:val="380" w:hRule="atLeast"/>
          <w:jc w:val="center"/>
        </w:trPr>
        <w:tc>
          <w:tcPr>
            <w:tcW w:w="768" w:type="dxa"/>
            <w:gridSpan w:val="2"/>
            <w:vMerge w:val="continue"/>
            <w:tcBorders>
              <w:top w:val="nil"/>
              <w:left w:val="single" w:color="auto" w:sz="6" w:space="0"/>
              <w:bottom w:val="single" w:color="auto" w:sz="6" w:space="0"/>
              <w:right w:val="single" w:color="auto" w:sz="6" w:space="0"/>
            </w:tcBorders>
            <w:shd w:val="clear" w:color="auto" w:fill="FFFFFF"/>
            <w:vAlign w:val="center"/>
          </w:tcPr>
          <w:p>
            <w:pPr>
              <w:widowControl/>
              <w:ind w:firstLine="332"/>
              <w:jc w:val="center"/>
              <w:rPr>
                <w:color w:val="333333"/>
                <w:spacing w:val="8"/>
                <w:kern w:val="0"/>
                <w:sz w:val="15"/>
                <w:szCs w:val="15"/>
              </w:rPr>
            </w:pPr>
          </w:p>
        </w:tc>
        <w:tc>
          <w:tcPr>
            <w:tcW w:w="802" w:type="dxa"/>
            <w:vMerge w:val="continue"/>
            <w:tcBorders>
              <w:top w:val="nil"/>
              <w:left w:val="nil"/>
              <w:bottom w:val="single" w:color="auto" w:sz="6" w:space="0"/>
              <w:right w:val="single" w:color="auto" w:sz="6" w:space="0"/>
            </w:tcBorders>
            <w:shd w:val="clear" w:color="auto" w:fill="FFFFFF"/>
            <w:vAlign w:val="center"/>
          </w:tcPr>
          <w:p>
            <w:pPr>
              <w:widowControl/>
              <w:spacing w:line="220" w:lineRule="exact"/>
              <w:ind w:firstLine="332"/>
              <w:jc w:val="center"/>
              <w:rPr>
                <w:color w:val="333333"/>
                <w:spacing w:val="8"/>
                <w:kern w:val="0"/>
                <w:sz w:val="15"/>
                <w:szCs w:val="15"/>
              </w:rPr>
            </w:pPr>
          </w:p>
        </w:tc>
        <w:tc>
          <w:tcPr>
            <w:tcW w:w="876"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rPr>
                <w:color w:val="333333"/>
                <w:spacing w:val="8"/>
                <w:kern w:val="0"/>
                <w:sz w:val="15"/>
                <w:szCs w:val="15"/>
              </w:rPr>
            </w:pPr>
          </w:p>
        </w:tc>
        <w:tc>
          <w:tcPr>
            <w:tcW w:w="656"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1046"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83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66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1132"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1209"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169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1194"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909"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1107" w:type="dxa"/>
            <w:gridSpan w:val="2"/>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1442" w:type="dxa"/>
            <w:gridSpan w:val="3"/>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c>
          <w:tcPr>
            <w:tcW w:w="614" w:type="dxa"/>
            <w:tcBorders>
              <w:top w:val="nil"/>
              <w:left w:val="nil"/>
              <w:bottom w:val="single" w:color="auto" w:sz="6" w:space="0"/>
              <w:right w:val="single" w:color="auto" w:sz="6" w:space="0"/>
            </w:tcBorders>
            <w:shd w:val="clear" w:color="auto" w:fill="FFFFFF"/>
            <w:tcMar>
              <w:top w:w="0" w:type="dxa"/>
              <w:left w:w="60" w:type="dxa"/>
              <w:bottom w:w="0" w:type="dxa"/>
              <w:right w:w="60" w:type="dxa"/>
            </w:tcMar>
            <w:vAlign w:val="center"/>
          </w:tcPr>
          <w:p>
            <w:pPr>
              <w:widowControl/>
              <w:spacing w:line="220" w:lineRule="exact"/>
              <w:jc w:val="center"/>
              <w:rPr>
                <w:color w:val="333333"/>
                <w:spacing w:val="8"/>
                <w:kern w:val="0"/>
                <w:sz w:val="15"/>
                <w:szCs w:val="15"/>
              </w:rPr>
            </w:pPr>
          </w:p>
        </w:tc>
      </w:tr>
    </w:tbl>
    <w:p>
      <w:pPr>
        <w:rPr>
          <w:sz w:val="15"/>
          <w:szCs w:val="15"/>
        </w:rPr>
        <w:sectPr>
          <w:headerReference r:id="rId19" w:type="default"/>
          <w:footerReference r:id="rId20" w:type="default"/>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b/>
          <w:bCs/>
          <w:sz w:val="15"/>
          <w:szCs w:val="15"/>
        </w:rPr>
        <w:t>注</w:t>
      </w:r>
      <w:r>
        <w:rPr>
          <w:sz w:val="15"/>
          <w:szCs w:val="15"/>
        </w:rPr>
        <w:t>：1、排放增减量：（+）表示增加，（-）表示减少；2、(12)=(6)-(8)-(11)，（9）= (4)-(5)-(8)- (11) +（1）；3、计量单位：废水排放量——万米/年；废气排放量——万标立方米/年；工业固体废物排放量——万米/年；水污染物实测浓度——毫克/升; 大气污染物实测浓度——毫克/立方米</w:t>
      </w:r>
      <w:r>
        <w:t>；</w:t>
      </w:r>
      <w:r>
        <w:rPr>
          <w:sz w:val="15"/>
          <w:szCs w:val="15"/>
        </w:rPr>
        <w:t>水污染物排放量——吨/年；大气污染物排放量——吨/年</w:t>
      </w:r>
    </w:p>
    <w:p>
      <w:pPr>
        <w:spacing w:line="360" w:lineRule="auto"/>
        <w:contextualSpacing/>
        <w:rPr>
          <w:color w:val="000000"/>
          <w:kern w:val="0"/>
          <w:sz w:val="24"/>
          <w:szCs w:val="24"/>
        </w:rPr>
      </w:pPr>
      <w:r>
        <w:rPr>
          <w:color w:val="000000"/>
          <w:kern w:val="0"/>
          <w:sz w:val="24"/>
          <w:szCs w:val="24"/>
        </w:rPr>
        <w:t>附件：</w:t>
      </w:r>
    </w:p>
    <w:p>
      <w:pPr>
        <w:spacing w:line="360" w:lineRule="auto"/>
        <w:ind w:firstLine="480" w:firstLineChars="200"/>
        <w:contextualSpacing/>
        <w:jc w:val="left"/>
        <w:rPr>
          <w:sz w:val="24"/>
          <w:szCs w:val="24"/>
        </w:rPr>
      </w:pPr>
      <w:r>
        <w:rPr>
          <w:sz w:val="24"/>
          <w:szCs w:val="24"/>
        </w:rPr>
        <w:t>1、建设项目环评批复；</w:t>
      </w:r>
    </w:p>
    <w:p>
      <w:pPr>
        <w:spacing w:line="360" w:lineRule="auto"/>
        <w:ind w:firstLine="480" w:firstLineChars="200"/>
        <w:contextualSpacing/>
        <w:jc w:val="left"/>
        <w:rPr>
          <w:sz w:val="24"/>
          <w:szCs w:val="24"/>
        </w:rPr>
      </w:pPr>
      <w:r>
        <w:rPr>
          <w:sz w:val="24"/>
          <w:szCs w:val="24"/>
        </w:rPr>
        <w:t>2、突发环境事件应急预案备案登记表；</w:t>
      </w:r>
    </w:p>
    <w:p>
      <w:pPr>
        <w:spacing w:line="360" w:lineRule="auto"/>
        <w:ind w:firstLine="480" w:firstLineChars="200"/>
        <w:contextualSpacing/>
        <w:jc w:val="left"/>
        <w:rPr>
          <w:sz w:val="24"/>
          <w:szCs w:val="24"/>
        </w:rPr>
      </w:pPr>
      <w:r>
        <w:rPr>
          <w:sz w:val="24"/>
          <w:szCs w:val="24"/>
        </w:rPr>
        <w:t>3、</w:t>
      </w:r>
      <w:r>
        <w:rPr>
          <w:rFonts w:hint="eastAsia"/>
          <w:sz w:val="24"/>
          <w:szCs w:val="24"/>
        </w:rPr>
        <w:t>收购协议；</w:t>
      </w:r>
    </w:p>
    <w:p>
      <w:pPr>
        <w:spacing w:line="360" w:lineRule="auto"/>
        <w:ind w:firstLine="480" w:firstLineChars="200"/>
        <w:contextualSpacing/>
        <w:jc w:val="left"/>
        <w:rPr>
          <w:sz w:val="24"/>
          <w:szCs w:val="24"/>
        </w:rPr>
      </w:pPr>
      <w:r>
        <w:rPr>
          <w:sz w:val="24"/>
          <w:szCs w:val="24"/>
        </w:rPr>
        <w:t>4、环卫合同；</w:t>
      </w:r>
    </w:p>
    <w:p>
      <w:pPr>
        <w:spacing w:line="360" w:lineRule="auto"/>
        <w:ind w:firstLine="480" w:firstLineChars="200"/>
        <w:contextualSpacing/>
        <w:jc w:val="left"/>
        <w:rPr>
          <w:sz w:val="24"/>
          <w:szCs w:val="24"/>
        </w:rPr>
      </w:pPr>
      <w:r>
        <w:rPr>
          <w:sz w:val="24"/>
          <w:szCs w:val="24"/>
        </w:rPr>
        <w:t>5、</w:t>
      </w:r>
      <w:r>
        <w:rPr>
          <w:rFonts w:hint="eastAsia"/>
          <w:sz w:val="24"/>
          <w:szCs w:val="24"/>
        </w:rPr>
        <w:t>年产10万吨氯化石蜡项目</w:t>
      </w:r>
      <w:r>
        <w:rPr>
          <w:sz w:val="24"/>
          <w:szCs w:val="24"/>
        </w:rPr>
        <w:t>防渗证明；</w:t>
      </w:r>
    </w:p>
    <w:p>
      <w:pPr>
        <w:spacing w:line="360" w:lineRule="auto"/>
        <w:ind w:firstLine="480" w:firstLineChars="200"/>
        <w:contextualSpacing/>
        <w:jc w:val="left"/>
        <w:rPr>
          <w:sz w:val="24"/>
          <w:szCs w:val="24"/>
        </w:rPr>
      </w:pPr>
      <w:r>
        <w:rPr>
          <w:sz w:val="24"/>
          <w:szCs w:val="24"/>
        </w:rPr>
        <w:t>6、寿光市污染物总量确认书；</w:t>
      </w:r>
    </w:p>
    <w:p>
      <w:pPr>
        <w:spacing w:line="360" w:lineRule="auto"/>
        <w:ind w:firstLine="480" w:firstLineChars="200"/>
        <w:contextualSpacing/>
        <w:jc w:val="left"/>
        <w:rPr>
          <w:sz w:val="24"/>
          <w:szCs w:val="24"/>
        </w:rPr>
      </w:pPr>
      <w:r>
        <w:rPr>
          <w:sz w:val="24"/>
          <w:szCs w:val="24"/>
        </w:rPr>
        <w:t>7、验收监测期间</w:t>
      </w:r>
      <w:r>
        <w:rPr>
          <w:rFonts w:hint="eastAsia"/>
          <w:sz w:val="24"/>
          <w:szCs w:val="24"/>
        </w:rPr>
        <w:t>生产日报表</w:t>
      </w:r>
      <w:r>
        <w:rPr>
          <w:sz w:val="24"/>
          <w:szCs w:val="24"/>
        </w:rPr>
        <w:t>；</w:t>
      </w:r>
    </w:p>
    <w:p>
      <w:pPr>
        <w:spacing w:line="360" w:lineRule="auto"/>
        <w:ind w:firstLine="480" w:firstLineChars="200"/>
        <w:contextualSpacing/>
        <w:jc w:val="left"/>
        <w:rPr>
          <w:sz w:val="24"/>
          <w:szCs w:val="24"/>
        </w:rPr>
      </w:pPr>
      <w:r>
        <w:rPr>
          <w:rFonts w:hint="eastAsia"/>
          <w:sz w:val="24"/>
          <w:szCs w:val="24"/>
        </w:rPr>
        <w:t>8、排污许可证正本信息；</w:t>
      </w:r>
    </w:p>
    <w:p>
      <w:pPr>
        <w:spacing w:line="360" w:lineRule="auto"/>
        <w:ind w:firstLine="480" w:firstLineChars="200"/>
        <w:contextualSpacing/>
        <w:jc w:val="left"/>
        <w:rPr>
          <w:rFonts w:hint="default" w:eastAsia="宋体"/>
          <w:sz w:val="24"/>
          <w:szCs w:val="24"/>
          <w:lang w:val="en-US" w:eastAsia="zh-CN"/>
        </w:rPr>
      </w:pPr>
      <w:r>
        <w:rPr>
          <w:rFonts w:hint="eastAsia"/>
          <w:sz w:val="24"/>
          <w:szCs w:val="24"/>
        </w:rPr>
        <w:t>9</w:t>
      </w:r>
      <w:r>
        <w:rPr>
          <w:sz w:val="24"/>
          <w:szCs w:val="24"/>
        </w:rPr>
        <w:t>、</w:t>
      </w:r>
      <w:r>
        <w:rPr>
          <w:rFonts w:hint="eastAsia"/>
          <w:sz w:val="24"/>
          <w:szCs w:val="24"/>
          <w:lang w:val="en-US" w:eastAsia="zh-CN"/>
        </w:rPr>
        <w:t>原料检测；</w:t>
      </w:r>
    </w:p>
    <w:p>
      <w:pPr>
        <w:spacing w:line="360" w:lineRule="auto"/>
        <w:ind w:firstLine="480" w:firstLineChars="200"/>
        <w:contextualSpacing/>
        <w:jc w:val="left"/>
        <w:rPr>
          <w:rFonts w:hint="default"/>
          <w:sz w:val="24"/>
          <w:szCs w:val="24"/>
          <w:lang w:val="en-US"/>
        </w:rPr>
      </w:pPr>
      <w:r>
        <w:rPr>
          <w:rFonts w:hint="eastAsia"/>
          <w:sz w:val="24"/>
          <w:szCs w:val="24"/>
          <w:lang w:val="en-US" w:eastAsia="zh-CN"/>
        </w:rPr>
        <w:t>10、雨水检测报告；</w:t>
      </w:r>
    </w:p>
    <w:p>
      <w:pPr>
        <w:spacing w:line="360" w:lineRule="auto"/>
        <w:ind w:firstLine="480" w:firstLineChars="200"/>
        <w:contextualSpacing/>
        <w:jc w:val="left"/>
        <w:rPr>
          <w:rFonts w:hint="eastAsia"/>
          <w:sz w:val="24"/>
          <w:szCs w:val="24"/>
        </w:rPr>
      </w:pPr>
      <w:r>
        <w:rPr>
          <w:rFonts w:hint="eastAsia"/>
          <w:sz w:val="24"/>
          <w:szCs w:val="24"/>
        </w:rPr>
        <w:t>1</w:t>
      </w:r>
      <w:r>
        <w:rPr>
          <w:rFonts w:hint="eastAsia"/>
          <w:sz w:val="24"/>
          <w:szCs w:val="24"/>
          <w:lang w:val="en-US" w:eastAsia="zh-CN"/>
        </w:rPr>
        <w:t>1</w:t>
      </w:r>
      <w:r>
        <w:rPr>
          <w:rFonts w:hint="eastAsia"/>
          <w:sz w:val="24"/>
          <w:szCs w:val="24"/>
        </w:rPr>
        <w:t>、</w:t>
      </w:r>
      <w:r>
        <w:rPr>
          <w:rFonts w:hint="eastAsia"/>
          <w:sz w:val="24"/>
          <w:szCs w:val="24"/>
          <w:lang w:val="en-US" w:eastAsia="zh-CN"/>
        </w:rPr>
        <w:t>验收</w:t>
      </w:r>
      <w:r>
        <w:rPr>
          <w:sz w:val="24"/>
          <w:szCs w:val="24"/>
        </w:rPr>
        <w:t>检测报告</w:t>
      </w:r>
      <w:r>
        <w:rPr>
          <w:rFonts w:hint="eastAsia"/>
          <w:sz w:val="24"/>
          <w:szCs w:val="24"/>
        </w:rPr>
        <w:t>；</w:t>
      </w:r>
    </w:p>
    <w:p>
      <w:pPr>
        <w:spacing w:line="360" w:lineRule="auto"/>
        <w:ind w:firstLine="480" w:firstLineChars="200"/>
        <w:contextualSpacing/>
        <w:jc w:val="left"/>
        <w:rPr>
          <w:sz w:val="24"/>
          <w:szCs w:val="24"/>
        </w:rPr>
      </w:pPr>
      <w:r>
        <w:rPr>
          <w:rFonts w:hint="eastAsia"/>
          <w:sz w:val="24"/>
          <w:szCs w:val="24"/>
          <w:lang w:val="en-US" w:eastAsia="zh-CN"/>
        </w:rPr>
        <w:t>12、</w:t>
      </w:r>
      <w:r>
        <w:rPr>
          <w:rFonts w:hint="eastAsia"/>
          <w:sz w:val="24"/>
          <w:szCs w:val="24"/>
        </w:rPr>
        <w:t>验收公示。</w:t>
      </w:r>
    </w:p>
    <w:p/>
    <w:p/>
    <w:p/>
    <w:p/>
    <w:p/>
    <w:p/>
    <w:p/>
    <w:p/>
    <w:p/>
    <w:p/>
    <w:p/>
    <w:p/>
    <w:p/>
    <w:p/>
    <w:p/>
    <w:p/>
    <w:p/>
    <w:p/>
    <w:p/>
    <w:p/>
    <w:p/>
    <w:p/>
    <w:p/>
    <w:p/>
    <w:p/>
    <w:p/>
    <w:p/>
    <w:p/>
    <w:p>
      <w:pPr>
        <w:rPr>
          <w:sz w:val="24"/>
          <w:szCs w:val="24"/>
        </w:rPr>
      </w:pPr>
      <w:r>
        <w:rPr>
          <w:sz w:val="24"/>
          <w:szCs w:val="24"/>
        </w:rPr>
        <w:t>附件1、建设项目环评批复</w:t>
      </w:r>
    </w:p>
    <w:p>
      <w:r>
        <w:drawing>
          <wp:inline distT="0" distB="0" distL="114300" distR="114300">
            <wp:extent cx="5272405" cy="7487285"/>
            <wp:effectExtent l="0" t="0" r="4445" b="18415"/>
            <wp:docPr id="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pic:cNvPicPr>
                      <a:picLocks noChangeAspect="1"/>
                    </pic:cNvPicPr>
                  </pic:nvPicPr>
                  <pic:blipFill>
                    <a:blip r:embed="rId57"/>
                    <a:stretch>
                      <a:fillRect/>
                    </a:stretch>
                  </pic:blipFill>
                  <pic:spPr>
                    <a:xfrm>
                      <a:off x="0" y="0"/>
                      <a:ext cx="5272405" cy="7487285"/>
                    </a:xfrm>
                    <a:prstGeom prst="rect">
                      <a:avLst/>
                    </a:prstGeom>
                    <a:noFill/>
                    <a:ln>
                      <a:noFill/>
                    </a:ln>
                  </pic:spPr>
                </pic:pic>
              </a:graphicData>
            </a:graphic>
          </wp:inline>
        </w:drawing>
      </w:r>
    </w:p>
    <w:p/>
    <w:p/>
    <w:p/>
    <w:p/>
    <w:p/>
    <w:p>
      <w:r>
        <w:drawing>
          <wp:inline distT="0" distB="0" distL="114300" distR="114300">
            <wp:extent cx="5181600" cy="7391400"/>
            <wp:effectExtent l="0" t="0" r="0" b="0"/>
            <wp:docPr id="2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
                    <pic:cNvPicPr>
                      <a:picLocks noChangeAspect="1"/>
                    </pic:cNvPicPr>
                  </pic:nvPicPr>
                  <pic:blipFill>
                    <a:blip r:embed="rId58"/>
                    <a:stretch>
                      <a:fillRect/>
                    </a:stretch>
                  </pic:blipFill>
                  <pic:spPr>
                    <a:xfrm>
                      <a:off x="0" y="0"/>
                      <a:ext cx="5181600" cy="7391400"/>
                    </a:xfrm>
                    <a:prstGeom prst="rect">
                      <a:avLst/>
                    </a:prstGeom>
                    <a:noFill/>
                    <a:ln>
                      <a:noFill/>
                    </a:ln>
                  </pic:spPr>
                </pic:pic>
              </a:graphicData>
            </a:graphic>
          </wp:inline>
        </w:drawing>
      </w:r>
    </w:p>
    <w:p>
      <w:pPr>
        <w:pStyle w:val="2"/>
      </w:pPr>
    </w:p>
    <w:p/>
    <w:p>
      <w:pPr>
        <w:pStyle w:val="2"/>
      </w:pPr>
    </w:p>
    <w:p/>
    <w:p>
      <w:pPr>
        <w:pStyle w:val="2"/>
      </w:pPr>
    </w:p>
    <w:p>
      <w:pPr>
        <w:rPr>
          <w:b/>
          <w:bCs/>
        </w:rPr>
      </w:pPr>
      <w:r>
        <w:drawing>
          <wp:inline distT="0" distB="0" distL="114300" distR="114300">
            <wp:extent cx="5038725" cy="7448550"/>
            <wp:effectExtent l="0" t="0" r="9525" b="0"/>
            <wp:docPr id="2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pic:cNvPicPr>
                      <a:picLocks noChangeAspect="1"/>
                    </pic:cNvPicPr>
                  </pic:nvPicPr>
                  <pic:blipFill>
                    <a:blip r:embed="rId59"/>
                    <a:stretch>
                      <a:fillRect/>
                    </a:stretch>
                  </pic:blipFill>
                  <pic:spPr>
                    <a:xfrm>
                      <a:off x="0" y="0"/>
                      <a:ext cx="5038725" cy="7448550"/>
                    </a:xfrm>
                    <a:prstGeom prst="rect">
                      <a:avLst/>
                    </a:prstGeom>
                    <a:noFill/>
                    <a:ln>
                      <a:noFill/>
                    </a:ln>
                  </pic:spPr>
                </pic:pic>
              </a:graphicData>
            </a:graphic>
          </wp:inline>
        </w:drawing>
      </w:r>
    </w:p>
    <w:p>
      <w:pPr>
        <w:pStyle w:val="2"/>
      </w:pPr>
    </w:p>
    <w:p/>
    <w:p/>
    <w:p/>
    <w:p/>
    <w:p/>
    <w:p>
      <w:r>
        <w:drawing>
          <wp:inline distT="0" distB="0" distL="114300" distR="114300">
            <wp:extent cx="5270500" cy="7217410"/>
            <wp:effectExtent l="0" t="0" r="6350" b="2540"/>
            <wp:docPr id="2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0"/>
                    <pic:cNvPicPr>
                      <a:picLocks noChangeAspect="1"/>
                    </pic:cNvPicPr>
                  </pic:nvPicPr>
                  <pic:blipFill>
                    <a:blip r:embed="rId60"/>
                    <a:stretch>
                      <a:fillRect/>
                    </a:stretch>
                  </pic:blipFill>
                  <pic:spPr>
                    <a:xfrm>
                      <a:off x="0" y="0"/>
                      <a:ext cx="5270500" cy="7217410"/>
                    </a:xfrm>
                    <a:prstGeom prst="rect">
                      <a:avLst/>
                    </a:prstGeom>
                    <a:noFill/>
                    <a:ln>
                      <a:noFill/>
                    </a:ln>
                  </pic:spPr>
                </pic:pic>
              </a:graphicData>
            </a:graphic>
          </wp:inline>
        </w:drawing>
      </w:r>
    </w:p>
    <w:p/>
    <w:p/>
    <w:p/>
    <w:p/>
    <w:p/>
    <w:p/>
    <w:p/>
    <w:p>
      <w:r>
        <w:drawing>
          <wp:inline distT="0" distB="0" distL="114300" distR="114300">
            <wp:extent cx="5274310" cy="7738110"/>
            <wp:effectExtent l="0" t="0" r="2540" b="15240"/>
            <wp:docPr id="2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1"/>
                    <pic:cNvPicPr>
                      <a:picLocks noChangeAspect="1"/>
                    </pic:cNvPicPr>
                  </pic:nvPicPr>
                  <pic:blipFill>
                    <a:blip r:embed="rId61"/>
                    <a:stretch>
                      <a:fillRect/>
                    </a:stretch>
                  </pic:blipFill>
                  <pic:spPr>
                    <a:xfrm>
                      <a:off x="0" y="0"/>
                      <a:ext cx="5274310" cy="7738110"/>
                    </a:xfrm>
                    <a:prstGeom prst="rect">
                      <a:avLst/>
                    </a:prstGeom>
                    <a:noFill/>
                    <a:ln>
                      <a:noFill/>
                    </a:ln>
                  </pic:spPr>
                </pic:pic>
              </a:graphicData>
            </a:graphic>
          </wp:inline>
        </w:drawing>
      </w:r>
    </w:p>
    <w:p/>
    <w:p/>
    <w:p/>
    <w:p/>
    <w:p>
      <w:pPr>
        <w:rPr>
          <w:sz w:val="24"/>
          <w:szCs w:val="24"/>
        </w:rPr>
      </w:pPr>
      <w:r>
        <w:rPr>
          <w:sz w:val="24"/>
          <w:szCs w:val="24"/>
        </w:rPr>
        <w:t>附件2、突发环境事件应急预案备案登记表</w:t>
      </w:r>
    </w:p>
    <w:p>
      <w:r>
        <w:drawing>
          <wp:anchor distT="0" distB="0" distL="114300" distR="114300" simplePos="0" relativeHeight="251709440" behindDoc="0" locked="0" layoutInCell="1" allowOverlap="1">
            <wp:simplePos x="0" y="0"/>
            <wp:positionH relativeFrom="column">
              <wp:posOffset>-149860</wp:posOffset>
            </wp:positionH>
            <wp:positionV relativeFrom="paragraph">
              <wp:posOffset>57150</wp:posOffset>
            </wp:positionV>
            <wp:extent cx="5269230" cy="7429500"/>
            <wp:effectExtent l="0" t="0" r="7620" b="0"/>
            <wp:wrapSquare wrapText="bothSides"/>
            <wp:docPr id="8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9"/>
                    <pic:cNvPicPr>
                      <a:picLocks noChangeAspect="1"/>
                    </pic:cNvPicPr>
                  </pic:nvPicPr>
                  <pic:blipFill>
                    <a:blip r:embed="rId62"/>
                    <a:stretch>
                      <a:fillRect/>
                    </a:stretch>
                  </pic:blipFill>
                  <pic:spPr>
                    <a:xfrm>
                      <a:off x="0" y="0"/>
                      <a:ext cx="5269230" cy="7429500"/>
                    </a:xfrm>
                    <a:prstGeom prst="rect">
                      <a:avLst/>
                    </a:prstGeom>
                    <a:noFill/>
                    <a:ln>
                      <a:noFill/>
                    </a:ln>
                  </pic:spPr>
                </pic:pic>
              </a:graphicData>
            </a:graphic>
          </wp:anchor>
        </w:drawing>
      </w:r>
    </w:p>
    <w:p/>
    <w:p/>
    <w:p/>
    <w:p/>
    <w:p/>
    <w:p>
      <w:pPr>
        <w:jc w:val="left"/>
        <w:rPr>
          <w:sz w:val="24"/>
          <w:szCs w:val="24"/>
        </w:rPr>
      </w:pPr>
      <w:r>
        <w:rPr>
          <w:sz w:val="24"/>
          <w:szCs w:val="24"/>
        </w:rPr>
        <w:t>附件3、</w:t>
      </w:r>
      <w:r>
        <w:rPr>
          <w:rFonts w:hint="eastAsia"/>
          <w:sz w:val="24"/>
          <w:szCs w:val="24"/>
        </w:rPr>
        <w:t>收购协议</w:t>
      </w:r>
    </w:p>
    <w:p>
      <w:pPr>
        <w:pStyle w:val="2"/>
        <w:ind w:left="0" w:leftChars="0" w:firstLine="0" w:firstLineChars="0"/>
      </w:pPr>
      <w:r>
        <w:drawing>
          <wp:inline distT="0" distB="0" distL="114300" distR="114300">
            <wp:extent cx="5269865" cy="7444105"/>
            <wp:effectExtent l="0" t="0" r="6985" b="4445"/>
            <wp:docPr id="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
                    <pic:cNvPicPr>
                      <a:picLocks noChangeAspect="1"/>
                    </pic:cNvPicPr>
                  </pic:nvPicPr>
                  <pic:blipFill>
                    <a:blip r:embed="rId63"/>
                    <a:stretch>
                      <a:fillRect/>
                    </a:stretch>
                  </pic:blipFill>
                  <pic:spPr>
                    <a:xfrm>
                      <a:off x="0" y="0"/>
                      <a:ext cx="5269865" cy="7444105"/>
                    </a:xfrm>
                    <a:prstGeom prst="rect">
                      <a:avLst/>
                    </a:prstGeom>
                    <a:noFill/>
                    <a:ln>
                      <a:noFill/>
                    </a:ln>
                  </pic:spPr>
                </pic:pic>
              </a:graphicData>
            </a:graphic>
          </wp:inline>
        </w:drawing>
      </w:r>
    </w:p>
    <w:p>
      <w:pPr>
        <w:jc w:val="center"/>
      </w:pPr>
    </w:p>
    <w:p/>
    <w:p/>
    <w:p/>
    <w:p/>
    <w:p/>
    <w:p>
      <w:r>
        <w:drawing>
          <wp:inline distT="0" distB="0" distL="114300" distR="114300">
            <wp:extent cx="5269865" cy="7468235"/>
            <wp:effectExtent l="0" t="0" r="6985" b="18415"/>
            <wp:docPr id="4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
                    <pic:cNvPicPr>
                      <a:picLocks noChangeAspect="1"/>
                    </pic:cNvPicPr>
                  </pic:nvPicPr>
                  <pic:blipFill>
                    <a:blip r:embed="rId64"/>
                    <a:stretch>
                      <a:fillRect/>
                    </a:stretch>
                  </pic:blipFill>
                  <pic:spPr>
                    <a:xfrm>
                      <a:off x="0" y="0"/>
                      <a:ext cx="5269865" cy="7468235"/>
                    </a:xfrm>
                    <a:prstGeom prst="rect">
                      <a:avLst/>
                    </a:prstGeom>
                    <a:noFill/>
                    <a:ln>
                      <a:noFill/>
                    </a:ln>
                  </pic:spPr>
                </pic:pic>
              </a:graphicData>
            </a:graphic>
          </wp:inline>
        </w:drawing>
      </w:r>
    </w:p>
    <w:p/>
    <w:p/>
    <w:p/>
    <w:p/>
    <w:p/>
    <w:p/>
    <w:p>
      <w:r>
        <w:drawing>
          <wp:inline distT="0" distB="0" distL="114300" distR="114300">
            <wp:extent cx="5269865" cy="7480300"/>
            <wp:effectExtent l="0" t="0" r="6985" b="6350"/>
            <wp:docPr id="4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
                    <pic:cNvPicPr>
                      <a:picLocks noChangeAspect="1"/>
                    </pic:cNvPicPr>
                  </pic:nvPicPr>
                  <pic:blipFill>
                    <a:blip r:embed="rId65"/>
                    <a:stretch>
                      <a:fillRect/>
                    </a:stretch>
                  </pic:blipFill>
                  <pic:spPr>
                    <a:xfrm>
                      <a:off x="0" y="0"/>
                      <a:ext cx="5269865" cy="7480300"/>
                    </a:xfrm>
                    <a:prstGeom prst="rect">
                      <a:avLst/>
                    </a:prstGeom>
                    <a:noFill/>
                    <a:ln>
                      <a:noFill/>
                    </a:ln>
                  </pic:spPr>
                </pic:pic>
              </a:graphicData>
            </a:graphic>
          </wp:inline>
        </w:drawing>
      </w:r>
    </w:p>
    <w:p>
      <w:pPr>
        <w:pStyle w:val="2"/>
      </w:pPr>
    </w:p>
    <w:p/>
    <w:p>
      <w:pPr>
        <w:pStyle w:val="2"/>
      </w:pPr>
    </w:p>
    <w:p/>
    <w:p>
      <w:pPr>
        <w:pStyle w:val="2"/>
      </w:pPr>
    </w:p>
    <w:p>
      <w:r>
        <w:drawing>
          <wp:inline distT="0" distB="0" distL="114300" distR="114300">
            <wp:extent cx="5269865" cy="7360285"/>
            <wp:effectExtent l="0" t="0" r="6985" b="12065"/>
            <wp:docPr id="4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
                    <pic:cNvPicPr>
                      <a:picLocks noChangeAspect="1"/>
                    </pic:cNvPicPr>
                  </pic:nvPicPr>
                  <pic:blipFill>
                    <a:blip r:embed="rId66"/>
                    <a:stretch>
                      <a:fillRect/>
                    </a:stretch>
                  </pic:blipFill>
                  <pic:spPr>
                    <a:xfrm>
                      <a:off x="0" y="0"/>
                      <a:ext cx="5269865" cy="7360285"/>
                    </a:xfrm>
                    <a:prstGeom prst="rect">
                      <a:avLst/>
                    </a:prstGeom>
                    <a:noFill/>
                    <a:ln>
                      <a:noFill/>
                    </a:ln>
                  </pic:spPr>
                </pic:pic>
              </a:graphicData>
            </a:graphic>
          </wp:inline>
        </w:drawing>
      </w:r>
    </w:p>
    <w:p>
      <w:pPr>
        <w:pStyle w:val="2"/>
      </w:pPr>
    </w:p>
    <w:p/>
    <w:p>
      <w:pPr>
        <w:pStyle w:val="2"/>
      </w:pPr>
    </w:p>
    <w:p/>
    <w:p>
      <w:pPr>
        <w:pStyle w:val="2"/>
      </w:pPr>
    </w:p>
    <w:p>
      <w:r>
        <w:drawing>
          <wp:inline distT="0" distB="0" distL="114300" distR="114300">
            <wp:extent cx="5271135" cy="7505065"/>
            <wp:effectExtent l="0" t="0" r="5715" b="635"/>
            <wp:docPr id="4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5"/>
                    <pic:cNvPicPr>
                      <a:picLocks noChangeAspect="1"/>
                    </pic:cNvPicPr>
                  </pic:nvPicPr>
                  <pic:blipFill>
                    <a:blip r:embed="rId67"/>
                    <a:stretch>
                      <a:fillRect/>
                    </a:stretch>
                  </pic:blipFill>
                  <pic:spPr>
                    <a:xfrm>
                      <a:off x="0" y="0"/>
                      <a:ext cx="5271135" cy="7505065"/>
                    </a:xfrm>
                    <a:prstGeom prst="rect">
                      <a:avLst/>
                    </a:prstGeom>
                    <a:noFill/>
                    <a:ln>
                      <a:noFill/>
                    </a:ln>
                  </pic:spPr>
                </pic:pic>
              </a:graphicData>
            </a:graphic>
          </wp:inline>
        </w:drawing>
      </w:r>
    </w:p>
    <w:p>
      <w:pPr>
        <w:pStyle w:val="2"/>
      </w:pPr>
    </w:p>
    <w:p/>
    <w:p>
      <w:pPr>
        <w:pStyle w:val="2"/>
      </w:pPr>
    </w:p>
    <w:p/>
    <w:p>
      <w:pPr>
        <w:pStyle w:val="2"/>
      </w:pPr>
    </w:p>
    <w:p>
      <w:r>
        <w:drawing>
          <wp:inline distT="0" distB="0" distL="114300" distR="114300">
            <wp:extent cx="5271770" cy="7609205"/>
            <wp:effectExtent l="0" t="0" r="5080" b="10795"/>
            <wp:docPr id="4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6"/>
                    <pic:cNvPicPr>
                      <a:picLocks noChangeAspect="1"/>
                    </pic:cNvPicPr>
                  </pic:nvPicPr>
                  <pic:blipFill>
                    <a:blip r:embed="rId68"/>
                    <a:stretch>
                      <a:fillRect/>
                    </a:stretch>
                  </pic:blipFill>
                  <pic:spPr>
                    <a:xfrm>
                      <a:off x="0" y="0"/>
                      <a:ext cx="5271770" cy="7609205"/>
                    </a:xfrm>
                    <a:prstGeom prst="rect">
                      <a:avLst/>
                    </a:prstGeom>
                    <a:noFill/>
                    <a:ln>
                      <a:noFill/>
                    </a:ln>
                  </pic:spPr>
                </pic:pic>
              </a:graphicData>
            </a:graphic>
          </wp:inline>
        </w:drawing>
      </w:r>
    </w:p>
    <w:p>
      <w:r>
        <w:t xml:space="preserve">  </w:t>
      </w:r>
    </w:p>
    <w:p/>
    <w:p/>
    <w:p/>
    <w:p/>
    <w:p>
      <w:r>
        <w:drawing>
          <wp:inline distT="0" distB="0" distL="114300" distR="114300">
            <wp:extent cx="5272405" cy="7509510"/>
            <wp:effectExtent l="0" t="0" r="4445" b="15240"/>
            <wp:docPr id="4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7"/>
                    <pic:cNvPicPr>
                      <a:picLocks noChangeAspect="1"/>
                    </pic:cNvPicPr>
                  </pic:nvPicPr>
                  <pic:blipFill>
                    <a:blip r:embed="rId69"/>
                    <a:stretch>
                      <a:fillRect/>
                    </a:stretch>
                  </pic:blipFill>
                  <pic:spPr>
                    <a:xfrm>
                      <a:off x="0" y="0"/>
                      <a:ext cx="5272405" cy="7509510"/>
                    </a:xfrm>
                    <a:prstGeom prst="rect">
                      <a:avLst/>
                    </a:prstGeom>
                    <a:noFill/>
                    <a:ln>
                      <a:noFill/>
                    </a:ln>
                  </pic:spPr>
                </pic:pic>
              </a:graphicData>
            </a:graphic>
          </wp:inline>
        </w:drawing>
      </w:r>
    </w:p>
    <w:p/>
    <w:p/>
    <w:p/>
    <w:p/>
    <w:p>
      <w:pPr>
        <w:rPr>
          <w:color w:val="auto"/>
          <w:sz w:val="24"/>
          <w:szCs w:val="24"/>
        </w:rPr>
      </w:pPr>
      <w:r>
        <w:rPr>
          <w:color w:val="auto"/>
          <w:sz w:val="24"/>
          <w:szCs w:val="24"/>
        </w:rPr>
        <w:t>附件4、环卫合同</w:t>
      </w:r>
    </w:p>
    <w:p>
      <w:pPr>
        <w:pStyle w:val="2"/>
        <w:ind w:left="0" w:leftChars="0" w:firstLine="0" w:firstLineChars="0"/>
        <w:rPr>
          <w:rFonts w:hint="eastAsia" w:eastAsia="宋体"/>
          <w:lang w:eastAsia="zh-CN"/>
        </w:rPr>
      </w:pPr>
      <w:r>
        <w:rPr>
          <w:rFonts w:hint="eastAsia" w:eastAsia="宋体"/>
          <w:lang w:eastAsia="zh-CN"/>
        </w:rPr>
        <w:drawing>
          <wp:inline distT="0" distB="0" distL="114300" distR="114300">
            <wp:extent cx="5255895" cy="7229475"/>
            <wp:effectExtent l="0" t="0" r="1905" b="9525"/>
            <wp:docPr id="59" name="图片 59" descr="8bae9f677ec58f5daf7feb1bb676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8bae9f677ec58f5daf7feb1bb676677"/>
                    <pic:cNvPicPr>
                      <a:picLocks noChangeAspect="1"/>
                    </pic:cNvPicPr>
                  </pic:nvPicPr>
                  <pic:blipFill>
                    <a:blip r:embed="rId70"/>
                    <a:stretch>
                      <a:fillRect/>
                    </a:stretch>
                  </pic:blipFill>
                  <pic:spPr>
                    <a:xfrm>
                      <a:off x="0" y="0"/>
                      <a:ext cx="5255895" cy="7229475"/>
                    </a:xfrm>
                    <a:prstGeom prst="rect">
                      <a:avLst/>
                    </a:prstGeom>
                  </pic:spPr>
                </pic:pic>
              </a:graphicData>
            </a:graphic>
          </wp:inline>
        </w:drawing>
      </w:r>
    </w:p>
    <w:p/>
    <w:p/>
    <w:p/>
    <w:p/>
    <w:p/>
    <w:p/>
    <w:p>
      <w:pPr>
        <w:rPr>
          <w:rFonts w:hint="eastAsia" w:eastAsia="宋体"/>
          <w:lang w:eastAsia="zh-CN"/>
        </w:rPr>
      </w:pPr>
      <w:r>
        <w:rPr>
          <w:rFonts w:hint="eastAsia" w:eastAsia="宋体"/>
          <w:lang w:eastAsia="zh-CN"/>
        </w:rPr>
        <w:drawing>
          <wp:inline distT="0" distB="0" distL="114300" distR="114300">
            <wp:extent cx="5259705" cy="7308850"/>
            <wp:effectExtent l="0" t="0" r="17145" b="6350"/>
            <wp:docPr id="67" name="图片 67" descr="32168582c63e19c18150e9e82ae8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32168582c63e19c18150e9e82ae8c12"/>
                    <pic:cNvPicPr>
                      <a:picLocks noChangeAspect="1"/>
                    </pic:cNvPicPr>
                  </pic:nvPicPr>
                  <pic:blipFill>
                    <a:blip r:embed="rId71"/>
                    <a:stretch>
                      <a:fillRect/>
                    </a:stretch>
                  </pic:blipFill>
                  <pic:spPr>
                    <a:xfrm>
                      <a:off x="0" y="0"/>
                      <a:ext cx="5259705" cy="7308850"/>
                    </a:xfrm>
                    <a:prstGeom prst="rect">
                      <a:avLst/>
                    </a:prstGeom>
                  </pic:spPr>
                </pic:pic>
              </a:graphicData>
            </a:graphic>
          </wp:inline>
        </w:drawing>
      </w:r>
    </w:p>
    <w:p/>
    <w:p/>
    <w:p/>
    <w:p/>
    <w:p/>
    <w:p/>
    <w:p/>
    <w:p>
      <w:pPr>
        <w:rPr>
          <w:rFonts w:hint="eastAsia" w:eastAsia="宋体"/>
          <w:lang w:eastAsia="zh-CN"/>
        </w:rPr>
      </w:pPr>
      <w:r>
        <w:rPr>
          <w:rFonts w:hint="eastAsia" w:eastAsia="宋体"/>
          <w:lang w:eastAsia="zh-CN"/>
        </w:rPr>
        <w:drawing>
          <wp:inline distT="0" distB="0" distL="114300" distR="114300">
            <wp:extent cx="5256530" cy="7369810"/>
            <wp:effectExtent l="0" t="0" r="1270" b="2540"/>
            <wp:docPr id="73" name="图片 73" descr="c91988e2a2ebef74481886406d564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c91988e2a2ebef74481886406d564ac"/>
                    <pic:cNvPicPr>
                      <a:picLocks noChangeAspect="1"/>
                    </pic:cNvPicPr>
                  </pic:nvPicPr>
                  <pic:blipFill>
                    <a:blip r:embed="rId72"/>
                    <a:stretch>
                      <a:fillRect/>
                    </a:stretch>
                  </pic:blipFill>
                  <pic:spPr>
                    <a:xfrm>
                      <a:off x="0" y="0"/>
                      <a:ext cx="5256530" cy="7369810"/>
                    </a:xfrm>
                    <a:prstGeom prst="rect">
                      <a:avLst/>
                    </a:prstGeom>
                  </pic:spPr>
                </pic:pic>
              </a:graphicData>
            </a:graphic>
          </wp:inline>
        </w:drawing>
      </w:r>
    </w:p>
    <w:p/>
    <w:p/>
    <w:p/>
    <w:p/>
    <w:p/>
    <w:p/>
    <w:p>
      <w:pPr>
        <w:rPr>
          <w:sz w:val="24"/>
          <w:szCs w:val="24"/>
        </w:rPr>
      </w:pPr>
      <w:r>
        <w:rPr>
          <w:sz w:val="24"/>
          <w:szCs w:val="24"/>
        </w:rPr>
        <w:t>附件5、</w:t>
      </w:r>
      <w:r>
        <w:rPr>
          <w:rFonts w:hint="eastAsia"/>
          <w:sz w:val="24"/>
          <w:szCs w:val="24"/>
        </w:rPr>
        <w:t>年产10万吨氯化石蜡项目</w:t>
      </w:r>
      <w:r>
        <w:rPr>
          <w:sz w:val="24"/>
          <w:szCs w:val="24"/>
        </w:rPr>
        <w:t>防渗证明</w:t>
      </w:r>
    </w:p>
    <w:p>
      <w:r>
        <w:drawing>
          <wp:inline distT="0" distB="0" distL="114300" distR="114300">
            <wp:extent cx="5269230" cy="7586980"/>
            <wp:effectExtent l="0" t="0" r="7620" b="13970"/>
            <wp:docPr id="4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8"/>
                    <pic:cNvPicPr>
                      <a:picLocks noChangeAspect="1"/>
                    </pic:cNvPicPr>
                  </pic:nvPicPr>
                  <pic:blipFill>
                    <a:blip r:embed="rId73"/>
                    <a:stretch>
                      <a:fillRect/>
                    </a:stretch>
                  </pic:blipFill>
                  <pic:spPr>
                    <a:xfrm>
                      <a:off x="0" y="0"/>
                      <a:ext cx="5269230" cy="7586980"/>
                    </a:xfrm>
                    <a:prstGeom prst="rect">
                      <a:avLst/>
                    </a:prstGeom>
                    <a:noFill/>
                    <a:ln>
                      <a:noFill/>
                    </a:ln>
                  </pic:spPr>
                </pic:pic>
              </a:graphicData>
            </a:graphic>
          </wp:inline>
        </w:drawing>
      </w:r>
    </w:p>
    <w:p/>
    <w:p/>
    <w:p/>
    <w:p/>
    <w:p>
      <w:pPr>
        <w:rPr>
          <w:sz w:val="24"/>
          <w:szCs w:val="24"/>
        </w:rPr>
      </w:pPr>
      <w:r>
        <w:rPr>
          <w:sz w:val="24"/>
          <w:szCs w:val="24"/>
        </w:rPr>
        <w:t>附件6、寿光市污染物总量确认书</w:t>
      </w:r>
    </w:p>
    <w:p>
      <w:r>
        <w:drawing>
          <wp:inline distT="0" distB="0" distL="114300" distR="114300">
            <wp:extent cx="5273675" cy="7459345"/>
            <wp:effectExtent l="0" t="0" r="3175" b="8255"/>
            <wp:docPr id="3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2"/>
                    <pic:cNvPicPr>
                      <a:picLocks noChangeAspect="1"/>
                    </pic:cNvPicPr>
                  </pic:nvPicPr>
                  <pic:blipFill>
                    <a:blip r:embed="rId74"/>
                    <a:stretch>
                      <a:fillRect/>
                    </a:stretch>
                  </pic:blipFill>
                  <pic:spPr>
                    <a:xfrm>
                      <a:off x="0" y="0"/>
                      <a:ext cx="5273675" cy="7459345"/>
                    </a:xfrm>
                    <a:prstGeom prst="rect">
                      <a:avLst/>
                    </a:prstGeom>
                    <a:noFill/>
                    <a:ln>
                      <a:noFill/>
                    </a:ln>
                  </pic:spPr>
                </pic:pic>
              </a:graphicData>
            </a:graphic>
          </wp:inline>
        </w:drawing>
      </w:r>
    </w:p>
    <w:p>
      <w:pPr>
        <w:jc w:val="center"/>
      </w:pPr>
    </w:p>
    <w:p>
      <w:pPr>
        <w:jc w:val="center"/>
      </w:pPr>
    </w:p>
    <w:p>
      <w:pPr>
        <w:jc w:val="center"/>
      </w:pPr>
    </w:p>
    <w:p>
      <w:pPr>
        <w:jc w:val="center"/>
      </w:pPr>
    </w:p>
    <w:p>
      <w:pPr>
        <w:jc w:val="center"/>
      </w:pPr>
    </w:p>
    <w:p>
      <w:pPr>
        <w:jc w:val="center"/>
      </w:pPr>
      <w:r>
        <w:drawing>
          <wp:inline distT="0" distB="0" distL="114300" distR="114300">
            <wp:extent cx="5270500" cy="7614920"/>
            <wp:effectExtent l="0" t="0" r="6350" b="5080"/>
            <wp:docPr id="3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3"/>
                    <pic:cNvPicPr>
                      <a:picLocks noChangeAspect="1"/>
                    </pic:cNvPicPr>
                  </pic:nvPicPr>
                  <pic:blipFill>
                    <a:blip r:embed="rId75"/>
                    <a:stretch>
                      <a:fillRect/>
                    </a:stretch>
                  </pic:blipFill>
                  <pic:spPr>
                    <a:xfrm>
                      <a:off x="0" y="0"/>
                      <a:ext cx="5270500" cy="7614920"/>
                    </a:xfrm>
                    <a:prstGeom prst="rect">
                      <a:avLst/>
                    </a:prstGeom>
                    <a:noFill/>
                    <a:ln>
                      <a:noFill/>
                    </a:ln>
                  </pic:spPr>
                </pic:pic>
              </a:graphicData>
            </a:graphic>
          </wp:inline>
        </w:drawing>
      </w:r>
    </w:p>
    <w:p>
      <w:pPr>
        <w:jc w:val="center"/>
      </w:pPr>
    </w:p>
    <w:p>
      <w:pPr>
        <w:jc w:val="center"/>
      </w:pPr>
    </w:p>
    <w:p/>
    <w:p/>
    <w:p/>
    <w:p>
      <w:r>
        <w:drawing>
          <wp:inline distT="0" distB="0" distL="114300" distR="114300">
            <wp:extent cx="5274310" cy="7672705"/>
            <wp:effectExtent l="0" t="0" r="2540" b="4445"/>
            <wp:docPr id="3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4"/>
                    <pic:cNvPicPr>
                      <a:picLocks noChangeAspect="1"/>
                    </pic:cNvPicPr>
                  </pic:nvPicPr>
                  <pic:blipFill>
                    <a:blip r:embed="rId76"/>
                    <a:stretch>
                      <a:fillRect/>
                    </a:stretch>
                  </pic:blipFill>
                  <pic:spPr>
                    <a:xfrm>
                      <a:off x="0" y="0"/>
                      <a:ext cx="5274310" cy="7672705"/>
                    </a:xfrm>
                    <a:prstGeom prst="rect">
                      <a:avLst/>
                    </a:prstGeom>
                    <a:noFill/>
                    <a:ln>
                      <a:noFill/>
                    </a:ln>
                  </pic:spPr>
                </pic:pic>
              </a:graphicData>
            </a:graphic>
          </wp:inline>
        </w:drawing>
      </w:r>
    </w:p>
    <w:p>
      <w:pPr>
        <w:pStyle w:val="2"/>
      </w:pPr>
    </w:p>
    <w:p/>
    <w:p>
      <w:pPr>
        <w:pStyle w:val="2"/>
      </w:pPr>
    </w:p>
    <w:p/>
    <w:p>
      <w:pPr>
        <w:pStyle w:val="2"/>
      </w:pPr>
    </w:p>
    <w:p/>
    <w:p>
      <w:pPr>
        <w:pStyle w:val="2"/>
        <w:ind w:left="0" w:leftChars="0" w:firstLine="0" w:firstLineChars="0"/>
      </w:pPr>
      <w:r>
        <w:drawing>
          <wp:inline distT="0" distB="0" distL="114300" distR="114300">
            <wp:extent cx="5272405" cy="7228840"/>
            <wp:effectExtent l="0" t="0" r="4445" b="10160"/>
            <wp:docPr id="3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5"/>
                    <pic:cNvPicPr>
                      <a:picLocks noChangeAspect="1"/>
                    </pic:cNvPicPr>
                  </pic:nvPicPr>
                  <pic:blipFill>
                    <a:blip r:embed="rId77"/>
                    <a:stretch>
                      <a:fillRect/>
                    </a:stretch>
                  </pic:blipFill>
                  <pic:spPr>
                    <a:xfrm>
                      <a:off x="0" y="0"/>
                      <a:ext cx="5272405" cy="7228840"/>
                    </a:xfrm>
                    <a:prstGeom prst="rect">
                      <a:avLst/>
                    </a:prstGeom>
                    <a:noFill/>
                    <a:ln>
                      <a:noFill/>
                    </a:ln>
                  </pic:spPr>
                </pic:pic>
              </a:graphicData>
            </a:graphic>
          </wp:inline>
        </w:drawing>
      </w:r>
      <w:r>
        <w:drawing>
          <wp:inline distT="0" distB="0" distL="114300" distR="114300">
            <wp:extent cx="5272405" cy="7505700"/>
            <wp:effectExtent l="0" t="0" r="4445" b="0"/>
            <wp:docPr id="3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6"/>
                    <pic:cNvPicPr>
                      <a:picLocks noChangeAspect="1"/>
                    </pic:cNvPicPr>
                  </pic:nvPicPr>
                  <pic:blipFill>
                    <a:blip r:embed="rId78"/>
                    <a:stretch>
                      <a:fillRect/>
                    </a:stretch>
                  </pic:blipFill>
                  <pic:spPr>
                    <a:xfrm>
                      <a:off x="0" y="0"/>
                      <a:ext cx="5272405" cy="7505700"/>
                    </a:xfrm>
                    <a:prstGeom prst="rect">
                      <a:avLst/>
                    </a:prstGeom>
                    <a:noFill/>
                    <a:ln>
                      <a:noFill/>
                    </a:ln>
                  </pic:spPr>
                </pic:pic>
              </a:graphicData>
            </a:graphic>
          </wp:inline>
        </w:drawing>
      </w:r>
    </w:p>
    <w:p/>
    <w:p/>
    <w:p/>
    <w:p/>
    <w:p/>
    <w:p/>
    <w:p>
      <w:pPr>
        <w:rPr>
          <w:color w:val="auto"/>
          <w:sz w:val="24"/>
          <w:szCs w:val="24"/>
        </w:rPr>
      </w:pPr>
      <w:r>
        <w:rPr>
          <w:color w:val="auto"/>
          <w:sz w:val="24"/>
          <w:szCs w:val="24"/>
        </w:rPr>
        <w:t>附件7、验收监测期间</w:t>
      </w:r>
      <w:r>
        <w:rPr>
          <w:rFonts w:hint="eastAsia"/>
          <w:color w:val="auto"/>
          <w:sz w:val="24"/>
          <w:szCs w:val="24"/>
        </w:rPr>
        <w:t>生产日报表</w:t>
      </w:r>
    </w:p>
    <w:p>
      <w:pPr>
        <w:jc w:val="left"/>
      </w:pPr>
      <w:r>
        <w:drawing>
          <wp:inline distT="0" distB="0" distL="114300" distR="114300">
            <wp:extent cx="5270500" cy="7255510"/>
            <wp:effectExtent l="0" t="0" r="6350" b="2540"/>
            <wp:docPr id="1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
                    <pic:cNvPicPr>
                      <a:picLocks noChangeAspect="1"/>
                    </pic:cNvPicPr>
                  </pic:nvPicPr>
                  <pic:blipFill>
                    <a:blip r:embed="rId79"/>
                    <a:stretch>
                      <a:fillRect/>
                    </a:stretch>
                  </pic:blipFill>
                  <pic:spPr>
                    <a:xfrm>
                      <a:off x="0" y="0"/>
                      <a:ext cx="5270500" cy="7255510"/>
                    </a:xfrm>
                    <a:prstGeom prst="rect">
                      <a:avLst/>
                    </a:prstGeom>
                    <a:noFill/>
                    <a:ln>
                      <a:noFill/>
                    </a:ln>
                  </pic:spPr>
                </pic:pic>
              </a:graphicData>
            </a:graphic>
          </wp:inline>
        </w:drawing>
      </w:r>
    </w:p>
    <w:p/>
    <w:p/>
    <w:p/>
    <w:p/>
    <w:p/>
    <w:p>
      <w:pPr>
        <w:rPr>
          <w:rFonts w:hint="eastAsia"/>
          <w:sz w:val="24"/>
          <w:szCs w:val="24"/>
        </w:rPr>
      </w:pPr>
    </w:p>
    <w:p>
      <w:pPr>
        <w:rPr>
          <w:sz w:val="24"/>
          <w:szCs w:val="24"/>
        </w:rPr>
      </w:pPr>
      <w:r>
        <w:rPr>
          <w:rFonts w:hint="eastAsia"/>
          <w:sz w:val="24"/>
          <w:szCs w:val="24"/>
        </w:rPr>
        <w:t>附件8、排污许可证正本信息</w:t>
      </w:r>
    </w:p>
    <w:p>
      <w:r>
        <w:drawing>
          <wp:inline distT="0" distB="0" distL="114300" distR="114300">
            <wp:extent cx="5266055" cy="4387215"/>
            <wp:effectExtent l="0" t="0" r="10795" b="13335"/>
            <wp:docPr id="3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7"/>
                    <pic:cNvPicPr>
                      <a:picLocks noChangeAspect="1"/>
                    </pic:cNvPicPr>
                  </pic:nvPicPr>
                  <pic:blipFill>
                    <a:blip r:embed="rId80"/>
                    <a:stretch>
                      <a:fillRect/>
                    </a:stretch>
                  </pic:blipFill>
                  <pic:spPr>
                    <a:xfrm>
                      <a:off x="0" y="0"/>
                      <a:ext cx="5266055" cy="4387215"/>
                    </a:xfrm>
                    <a:prstGeom prst="rect">
                      <a:avLst/>
                    </a:prstGeom>
                    <a:noFill/>
                    <a:ln>
                      <a:noFill/>
                    </a:ln>
                  </pic:spPr>
                </pic:pic>
              </a:graphicData>
            </a:graphic>
          </wp:inline>
        </w:drawing>
      </w:r>
    </w:p>
    <w:p/>
    <w:p/>
    <w:p/>
    <w:p/>
    <w:p/>
    <w:p/>
    <w:p/>
    <w:p/>
    <w:p/>
    <w:p/>
    <w:p/>
    <w:p>
      <w:pPr>
        <w:contextualSpacing/>
        <w:jc w:val="center"/>
      </w:pPr>
    </w:p>
    <w:p>
      <w:pPr>
        <w:contextualSpacing/>
        <w:jc w:val="center"/>
      </w:pPr>
    </w:p>
    <w:p>
      <w:pPr>
        <w:contextualSpacing/>
        <w:jc w:val="center"/>
      </w:pPr>
    </w:p>
    <w:p>
      <w:pPr>
        <w:contextualSpacing/>
        <w:jc w:val="center"/>
      </w:pPr>
    </w:p>
    <w:p>
      <w:pPr>
        <w:contextualSpacing/>
        <w:jc w:val="center"/>
      </w:pPr>
    </w:p>
    <w:p>
      <w:pPr>
        <w:contextualSpacing/>
        <w:jc w:val="center"/>
      </w:pPr>
    </w:p>
    <w:p>
      <w:pPr>
        <w:contextualSpacing/>
        <w:jc w:val="left"/>
      </w:pPr>
    </w:p>
    <w:p>
      <w:pPr>
        <w:contextualSpacing/>
        <w:jc w:val="left"/>
      </w:pPr>
    </w:p>
    <w:p>
      <w:pPr>
        <w:contextualSpacing/>
        <w:jc w:val="left"/>
      </w:pPr>
    </w:p>
    <w:p>
      <w:pPr>
        <w:contextualSpacing/>
        <w:jc w:val="left"/>
        <w:rPr>
          <w:rFonts w:hint="default" w:eastAsia="宋体"/>
          <w:color w:val="auto"/>
          <w:sz w:val="24"/>
          <w:szCs w:val="24"/>
          <w:lang w:val="en-US" w:eastAsia="zh-CN"/>
        </w:rPr>
      </w:pPr>
      <w:r>
        <w:rPr>
          <w:rFonts w:hint="eastAsia"/>
          <w:color w:val="auto"/>
          <w:sz w:val="24"/>
          <w:szCs w:val="24"/>
        </w:rPr>
        <w:t>附件9、</w:t>
      </w:r>
      <w:r>
        <w:rPr>
          <w:rFonts w:hint="eastAsia"/>
          <w:color w:val="auto"/>
          <w:sz w:val="24"/>
          <w:szCs w:val="24"/>
          <w:lang w:val="en-US" w:eastAsia="zh-CN"/>
        </w:rPr>
        <w:t>原料检测</w:t>
      </w:r>
    </w:p>
    <w:p>
      <w:pPr>
        <w:pStyle w:val="2"/>
        <w:ind w:left="0" w:leftChars="0" w:firstLine="0" w:firstLineChars="0"/>
        <w:rPr>
          <w:rFonts w:hint="eastAsia" w:eastAsia="宋体"/>
          <w:color w:val="FF0000"/>
          <w:sz w:val="24"/>
          <w:lang w:eastAsia="zh-CN"/>
        </w:rPr>
      </w:pPr>
      <w:r>
        <w:rPr>
          <w:rFonts w:hint="eastAsia" w:eastAsia="宋体"/>
          <w:color w:val="FF0000"/>
          <w:sz w:val="24"/>
          <w:lang w:eastAsia="zh-CN"/>
        </w:rPr>
        <w:drawing>
          <wp:anchor distT="0" distB="0" distL="114300" distR="114300" simplePos="0" relativeHeight="251714560" behindDoc="0" locked="0" layoutInCell="1" allowOverlap="1">
            <wp:simplePos x="0" y="0"/>
            <wp:positionH relativeFrom="column">
              <wp:posOffset>0</wp:posOffset>
            </wp:positionH>
            <wp:positionV relativeFrom="paragraph">
              <wp:posOffset>49530</wp:posOffset>
            </wp:positionV>
            <wp:extent cx="4759325" cy="7429500"/>
            <wp:effectExtent l="0" t="0" r="3175" b="0"/>
            <wp:wrapSquare wrapText="bothSides"/>
            <wp:docPr id="22" name="图片 22" descr="46a1876157bc476a25938208cedaf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46a1876157bc476a25938208cedaf93"/>
                    <pic:cNvPicPr>
                      <a:picLocks noChangeAspect="1"/>
                    </pic:cNvPicPr>
                  </pic:nvPicPr>
                  <pic:blipFill>
                    <a:blip r:embed="rId81"/>
                    <a:stretch>
                      <a:fillRect/>
                    </a:stretch>
                  </pic:blipFill>
                  <pic:spPr>
                    <a:xfrm>
                      <a:off x="0" y="0"/>
                      <a:ext cx="4759325" cy="7429500"/>
                    </a:xfrm>
                    <a:prstGeom prst="rect">
                      <a:avLst/>
                    </a:prstGeom>
                  </pic:spPr>
                </pic:pic>
              </a:graphicData>
            </a:graphic>
          </wp:anchor>
        </w:drawing>
      </w: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rPr>
          <w:color w:val="FF0000"/>
          <w:sz w:val="24"/>
          <w:szCs w:val="24"/>
        </w:rPr>
      </w:pPr>
    </w:p>
    <w:p>
      <w:pPr>
        <w:pStyle w:val="2"/>
        <w:ind w:firstLine="480"/>
        <w:rPr>
          <w:color w:val="FF0000"/>
          <w:sz w:val="24"/>
        </w:rPr>
      </w:pPr>
    </w:p>
    <w:p>
      <w:pPr>
        <w:pStyle w:val="2"/>
        <w:ind w:left="0" w:leftChars="0" w:firstLine="0" w:firstLineChars="0"/>
      </w:pPr>
    </w:p>
    <w:p>
      <w:pPr>
        <w:contextualSpacing/>
        <w:jc w:val="left"/>
        <w:rPr>
          <w:rFonts w:hint="eastAsia"/>
          <w:color w:val="auto"/>
          <w:sz w:val="24"/>
          <w:szCs w:val="24"/>
          <w:lang w:val="en-US" w:eastAsia="zh-CN"/>
        </w:rPr>
      </w:pPr>
      <w:r>
        <w:rPr>
          <w:rFonts w:hint="eastAsia"/>
          <w:color w:val="auto"/>
          <w:sz w:val="24"/>
          <w:szCs w:val="24"/>
        </w:rPr>
        <w:t>附件10、</w:t>
      </w:r>
      <w:r>
        <w:rPr>
          <w:rFonts w:hint="eastAsia"/>
          <w:color w:val="auto"/>
          <w:sz w:val="24"/>
          <w:szCs w:val="24"/>
          <w:lang w:val="en-US" w:eastAsia="zh-CN"/>
        </w:rPr>
        <w:t>雨水检测报告</w:t>
      </w:r>
    </w:p>
    <w:p>
      <w:pPr>
        <w:pStyle w:val="2"/>
        <w:ind w:left="0" w:leftChars="0" w:firstLine="0" w:firstLineChars="0"/>
      </w:pPr>
      <w:r>
        <w:drawing>
          <wp:inline distT="0" distB="0" distL="114300" distR="114300">
            <wp:extent cx="5273040" cy="7187565"/>
            <wp:effectExtent l="0" t="0" r="3810" b="13335"/>
            <wp:docPr id="9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7"/>
                    <pic:cNvPicPr>
                      <a:picLocks noChangeAspect="1"/>
                    </pic:cNvPicPr>
                  </pic:nvPicPr>
                  <pic:blipFill>
                    <a:blip r:embed="rId82"/>
                    <a:stretch>
                      <a:fillRect/>
                    </a:stretch>
                  </pic:blipFill>
                  <pic:spPr>
                    <a:xfrm>
                      <a:off x="0" y="0"/>
                      <a:ext cx="5273040" cy="7187565"/>
                    </a:xfrm>
                    <a:prstGeom prst="rect">
                      <a:avLst/>
                    </a:prstGeom>
                    <a:noFill/>
                    <a:ln>
                      <a:noFill/>
                    </a:ln>
                  </pic:spPr>
                </pic:pic>
              </a:graphicData>
            </a:graphic>
          </wp:inline>
        </w:drawing>
      </w:r>
    </w:p>
    <w:p/>
    <w:p>
      <w:pPr>
        <w:pStyle w:val="2"/>
      </w:pPr>
    </w:p>
    <w:p/>
    <w:p>
      <w:pPr>
        <w:pStyle w:val="2"/>
      </w:pPr>
    </w:p>
    <w:p/>
    <w:p>
      <w:pPr>
        <w:pStyle w:val="2"/>
        <w:ind w:left="0" w:leftChars="0" w:firstLine="0" w:firstLineChars="0"/>
      </w:pPr>
    </w:p>
    <w:p>
      <w:r>
        <w:drawing>
          <wp:inline distT="0" distB="0" distL="114300" distR="114300">
            <wp:extent cx="5272405" cy="7149465"/>
            <wp:effectExtent l="0" t="0" r="4445" b="13335"/>
            <wp:docPr id="9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8"/>
                    <pic:cNvPicPr>
                      <a:picLocks noChangeAspect="1"/>
                    </pic:cNvPicPr>
                  </pic:nvPicPr>
                  <pic:blipFill>
                    <a:blip r:embed="rId83"/>
                    <a:stretch>
                      <a:fillRect/>
                    </a:stretch>
                  </pic:blipFill>
                  <pic:spPr>
                    <a:xfrm>
                      <a:off x="0" y="0"/>
                      <a:ext cx="5272405" cy="7149465"/>
                    </a:xfrm>
                    <a:prstGeom prst="rect">
                      <a:avLst/>
                    </a:prstGeom>
                    <a:noFill/>
                    <a:ln>
                      <a:noFill/>
                    </a:ln>
                  </pic:spPr>
                </pic:pic>
              </a:graphicData>
            </a:graphic>
          </wp:inline>
        </w:drawing>
      </w:r>
    </w:p>
    <w:p>
      <w:pPr>
        <w:pStyle w:val="2"/>
      </w:pPr>
    </w:p>
    <w:p/>
    <w:p>
      <w:pPr>
        <w:pStyle w:val="2"/>
      </w:pPr>
    </w:p>
    <w:p/>
    <w:p>
      <w:pPr>
        <w:pStyle w:val="2"/>
      </w:pPr>
    </w:p>
    <w:p>
      <w:r>
        <w:drawing>
          <wp:inline distT="0" distB="0" distL="114300" distR="114300">
            <wp:extent cx="5274310" cy="7299960"/>
            <wp:effectExtent l="0" t="0" r="2540" b="15240"/>
            <wp:docPr id="9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
                    <pic:cNvPicPr>
                      <a:picLocks noChangeAspect="1"/>
                    </pic:cNvPicPr>
                  </pic:nvPicPr>
                  <pic:blipFill>
                    <a:blip r:embed="rId84"/>
                    <a:stretch>
                      <a:fillRect/>
                    </a:stretch>
                  </pic:blipFill>
                  <pic:spPr>
                    <a:xfrm>
                      <a:off x="0" y="0"/>
                      <a:ext cx="5274310" cy="7299960"/>
                    </a:xfrm>
                    <a:prstGeom prst="rect">
                      <a:avLst/>
                    </a:prstGeom>
                    <a:noFill/>
                    <a:ln>
                      <a:noFill/>
                    </a:ln>
                  </pic:spPr>
                </pic:pic>
              </a:graphicData>
            </a:graphic>
          </wp:inline>
        </w:drawing>
      </w:r>
    </w:p>
    <w:p>
      <w:pPr>
        <w:pStyle w:val="2"/>
      </w:pPr>
    </w:p>
    <w:p/>
    <w:p>
      <w:pPr>
        <w:pStyle w:val="2"/>
      </w:pPr>
    </w:p>
    <w:p/>
    <w:p>
      <w:pPr>
        <w:pStyle w:val="2"/>
      </w:pPr>
    </w:p>
    <w:p/>
    <w:p>
      <w:pPr>
        <w:pStyle w:val="2"/>
      </w:pPr>
    </w:p>
    <w:p>
      <w:r>
        <w:drawing>
          <wp:inline distT="0" distB="0" distL="114300" distR="114300">
            <wp:extent cx="5086350" cy="7715250"/>
            <wp:effectExtent l="0" t="0" r="0" b="0"/>
            <wp:docPr id="9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0"/>
                    <pic:cNvPicPr>
                      <a:picLocks noChangeAspect="1"/>
                    </pic:cNvPicPr>
                  </pic:nvPicPr>
                  <pic:blipFill>
                    <a:blip r:embed="rId85"/>
                    <a:stretch>
                      <a:fillRect/>
                    </a:stretch>
                  </pic:blipFill>
                  <pic:spPr>
                    <a:xfrm>
                      <a:off x="0" y="0"/>
                      <a:ext cx="5086350" cy="7715250"/>
                    </a:xfrm>
                    <a:prstGeom prst="rect">
                      <a:avLst/>
                    </a:prstGeom>
                    <a:noFill/>
                    <a:ln>
                      <a:noFill/>
                    </a:ln>
                  </pic:spPr>
                </pic:pic>
              </a:graphicData>
            </a:graphic>
          </wp:inline>
        </w:drawing>
      </w:r>
    </w:p>
    <w:p>
      <w:pPr>
        <w:pStyle w:val="2"/>
      </w:pPr>
    </w:p>
    <w:p/>
    <w:p>
      <w:pPr>
        <w:rPr>
          <w:rFonts w:hint="eastAsia"/>
          <w:lang w:eastAsia="zh-CN"/>
        </w:rPr>
      </w:pPr>
    </w:p>
    <w:p>
      <w:pPr>
        <w:pStyle w:val="2"/>
        <w:rPr>
          <w:rFonts w:hint="eastAsia"/>
          <w:lang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附件11、验收报告</w:t>
      </w:r>
    </w:p>
    <w:p>
      <w:pPr>
        <w:pStyle w:val="2"/>
        <w:ind w:left="0" w:leftChars="0" w:firstLine="0" w:firstLineChars="0"/>
        <w:rPr>
          <w:rFonts w:hint="eastAsia" w:eastAsia="宋体"/>
          <w:lang w:eastAsia="zh-CN"/>
        </w:rPr>
      </w:pPr>
      <w:r>
        <w:rPr>
          <w:rFonts w:hint="eastAsia" w:eastAsia="宋体"/>
          <w:lang w:eastAsia="zh-CN"/>
        </w:rPr>
        <w:drawing>
          <wp:inline distT="0" distB="0" distL="114300" distR="114300">
            <wp:extent cx="5268595" cy="7450455"/>
            <wp:effectExtent l="0" t="0" r="8255" b="17145"/>
            <wp:docPr id="108" name="图片 108" descr="06094佰润_image1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descr="06094佰润_image1_out"/>
                    <pic:cNvPicPr>
                      <a:picLocks noChangeAspect="1"/>
                    </pic:cNvPicPr>
                  </pic:nvPicPr>
                  <pic:blipFill>
                    <a:blip r:embed="rId86"/>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07" name="图片 107" descr="06094佰润_image2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descr="06094佰润_image2_out"/>
                    <pic:cNvPicPr>
                      <a:picLocks noChangeAspect="1"/>
                    </pic:cNvPicPr>
                  </pic:nvPicPr>
                  <pic:blipFill>
                    <a:blip r:embed="rId87"/>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06" name="图片 106" descr="06094佰润_image3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descr="06094佰润_image3_out"/>
                    <pic:cNvPicPr>
                      <a:picLocks noChangeAspect="1"/>
                    </pic:cNvPicPr>
                  </pic:nvPicPr>
                  <pic:blipFill>
                    <a:blip r:embed="rId88"/>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05" name="图片 105" descr="06094佰润_image4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descr="06094佰润_image4_out"/>
                    <pic:cNvPicPr>
                      <a:picLocks noChangeAspect="1"/>
                    </pic:cNvPicPr>
                  </pic:nvPicPr>
                  <pic:blipFill>
                    <a:blip r:embed="rId89"/>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04" name="图片 104" descr="06094佰润_image5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descr="06094佰润_image5_out"/>
                    <pic:cNvPicPr>
                      <a:picLocks noChangeAspect="1"/>
                    </pic:cNvPicPr>
                  </pic:nvPicPr>
                  <pic:blipFill>
                    <a:blip r:embed="rId90"/>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03" name="图片 103" descr="06094佰润_image6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06094佰润_image6_out"/>
                    <pic:cNvPicPr>
                      <a:picLocks noChangeAspect="1"/>
                    </pic:cNvPicPr>
                  </pic:nvPicPr>
                  <pic:blipFill>
                    <a:blip r:embed="rId91"/>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02" name="图片 102" descr="06094佰润_image7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06094佰润_image7_out"/>
                    <pic:cNvPicPr>
                      <a:picLocks noChangeAspect="1"/>
                    </pic:cNvPicPr>
                  </pic:nvPicPr>
                  <pic:blipFill>
                    <a:blip r:embed="rId92"/>
                    <a:stretch>
                      <a:fillRect/>
                    </a:stretch>
                  </pic:blipFill>
                  <pic:spPr>
                    <a:xfrm>
                      <a:off x="0" y="0"/>
                      <a:ext cx="5268595" cy="7450455"/>
                    </a:xfrm>
                    <a:prstGeom prst="rect">
                      <a:avLst/>
                    </a:prstGeom>
                  </pic:spPr>
                </pic:pic>
              </a:graphicData>
            </a:graphic>
          </wp:inline>
        </w:drawing>
      </w:r>
    </w:p>
    <w:p/>
    <w:p>
      <w:pPr>
        <w:pStyle w:val="2"/>
      </w:pPr>
    </w:p>
    <w:p/>
    <w:p>
      <w:pPr>
        <w:pStyle w:val="2"/>
      </w:pPr>
    </w:p>
    <w:p/>
    <w:p>
      <w:pPr>
        <w:pStyle w:val="2"/>
      </w:pPr>
    </w:p>
    <w:p>
      <w:pPr>
        <w:rPr>
          <w:rFonts w:hint="eastAsia" w:eastAsia="宋体"/>
          <w:lang w:eastAsia="zh-CN"/>
        </w:rPr>
      </w:pPr>
      <w:r>
        <w:rPr>
          <w:rFonts w:hint="eastAsia" w:eastAsia="宋体"/>
          <w:lang w:eastAsia="zh-CN"/>
        </w:rPr>
        <w:drawing>
          <wp:inline distT="0" distB="0" distL="114300" distR="114300">
            <wp:extent cx="5268595" cy="7450455"/>
            <wp:effectExtent l="0" t="0" r="8255" b="17145"/>
            <wp:docPr id="121" name="图片 121" descr="06094佰润_image8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descr="06094佰润_image8_out"/>
                    <pic:cNvPicPr>
                      <a:picLocks noChangeAspect="1"/>
                    </pic:cNvPicPr>
                  </pic:nvPicPr>
                  <pic:blipFill>
                    <a:blip r:embed="rId93"/>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20" name="图片 120" descr="06094佰润_image9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descr="06094佰润_image9_out"/>
                    <pic:cNvPicPr>
                      <a:picLocks noChangeAspect="1"/>
                    </pic:cNvPicPr>
                  </pic:nvPicPr>
                  <pic:blipFill>
                    <a:blip r:embed="rId94"/>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19" name="图片 119" descr="06094佰润_image10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descr="06094佰润_image10_out"/>
                    <pic:cNvPicPr>
                      <a:picLocks noChangeAspect="1"/>
                    </pic:cNvPicPr>
                  </pic:nvPicPr>
                  <pic:blipFill>
                    <a:blip r:embed="rId95"/>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18" name="图片 118" descr="06094佰润_image11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descr="06094佰润_image11_out"/>
                    <pic:cNvPicPr>
                      <a:picLocks noChangeAspect="1"/>
                    </pic:cNvPicPr>
                  </pic:nvPicPr>
                  <pic:blipFill>
                    <a:blip r:embed="rId96"/>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17" name="图片 117" descr="06094佰润_image12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descr="06094佰润_image12_out"/>
                    <pic:cNvPicPr>
                      <a:picLocks noChangeAspect="1"/>
                    </pic:cNvPicPr>
                  </pic:nvPicPr>
                  <pic:blipFill>
                    <a:blip r:embed="rId97"/>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16" name="图片 116" descr="06094佰润_image13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descr="06094佰润_image13_out"/>
                    <pic:cNvPicPr>
                      <a:picLocks noChangeAspect="1"/>
                    </pic:cNvPicPr>
                  </pic:nvPicPr>
                  <pic:blipFill>
                    <a:blip r:embed="rId98"/>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15" name="图片 115" descr="06094佰润_image14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descr="06094佰润_image14_out"/>
                    <pic:cNvPicPr>
                      <a:picLocks noChangeAspect="1"/>
                    </pic:cNvPicPr>
                  </pic:nvPicPr>
                  <pic:blipFill>
                    <a:blip r:embed="rId99"/>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14" name="图片 114" descr="06094佰润_image15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descr="06094佰润_image15_out"/>
                    <pic:cNvPicPr>
                      <a:picLocks noChangeAspect="1"/>
                    </pic:cNvPicPr>
                  </pic:nvPicPr>
                  <pic:blipFill>
                    <a:blip r:embed="rId100"/>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13" name="图片 113" descr="06094佰润_image16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descr="06094佰润_image16_out"/>
                    <pic:cNvPicPr>
                      <a:picLocks noChangeAspect="1"/>
                    </pic:cNvPicPr>
                  </pic:nvPicPr>
                  <pic:blipFill>
                    <a:blip r:embed="rId101"/>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12" name="图片 112" descr="06094佰润_image17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descr="06094佰润_image17_out"/>
                    <pic:cNvPicPr>
                      <a:picLocks noChangeAspect="1"/>
                    </pic:cNvPicPr>
                  </pic:nvPicPr>
                  <pic:blipFill>
                    <a:blip r:embed="rId102"/>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11" name="图片 111" descr="06094佰润_image18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descr="06094佰润_image18_out"/>
                    <pic:cNvPicPr>
                      <a:picLocks noChangeAspect="1"/>
                    </pic:cNvPicPr>
                  </pic:nvPicPr>
                  <pic:blipFill>
                    <a:blip r:embed="rId103"/>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10" name="图片 110" descr="06094佰润_image19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descr="06094佰润_image19_out"/>
                    <pic:cNvPicPr>
                      <a:picLocks noChangeAspect="1"/>
                    </pic:cNvPicPr>
                  </pic:nvPicPr>
                  <pic:blipFill>
                    <a:blip r:embed="rId104"/>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09" name="图片 109" descr="06094佰润_image20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descr="06094佰润_image20_out"/>
                    <pic:cNvPicPr>
                      <a:picLocks noChangeAspect="1"/>
                    </pic:cNvPicPr>
                  </pic:nvPicPr>
                  <pic:blipFill>
                    <a:blip r:embed="rId105"/>
                    <a:stretch>
                      <a:fillRect/>
                    </a:stretch>
                  </pic:blipFill>
                  <pic:spPr>
                    <a:xfrm>
                      <a:off x="0" y="0"/>
                      <a:ext cx="5268595" cy="7450455"/>
                    </a:xfrm>
                    <a:prstGeom prst="rect">
                      <a:avLst/>
                    </a:prstGeom>
                  </pic:spPr>
                </pic:pic>
              </a:graphicData>
            </a:graphic>
          </wp:inline>
        </w:drawing>
      </w:r>
    </w:p>
    <w:p>
      <w:pPr>
        <w:pStyle w:val="2"/>
      </w:pPr>
    </w:p>
    <w:p/>
    <w:p>
      <w:pPr>
        <w:pStyle w:val="2"/>
      </w:pPr>
    </w:p>
    <w:p/>
    <w:p>
      <w:pPr>
        <w:pStyle w:val="2"/>
        <w:ind w:left="0" w:leftChars="0" w:firstLine="0" w:firstLineChars="0"/>
      </w:pPr>
    </w:p>
    <w:p/>
    <w:p>
      <w:pPr>
        <w:pStyle w:val="2"/>
        <w:ind w:left="0" w:leftChars="0" w:firstLine="0" w:firstLineChars="0"/>
        <w:rPr>
          <w:rFonts w:hint="eastAsia" w:eastAsia="宋体"/>
          <w:lang w:eastAsia="zh-CN"/>
        </w:rPr>
      </w:pPr>
      <w:r>
        <w:rPr>
          <w:rFonts w:hint="eastAsia" w:eastAsia="宋体"/>
          <w:lang w:eastAsia="zh-CN"/>
        </w:rPr>
        <w:drawing>
          <wp:inline distT="0" distB="0" distL="114300" distR="114300">
            <wp:extent cx="5268595" cy="7450455"/>
            <wp:effectExtent l="0" t="0" r="8255" b="17145"/>
            <wp:docPr id="140" name="图片 140" descr="06109佰润_image1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descr="06109佰润_image1_out"/>
                    <pic:cNvPicPr>
                      <a:picLocks noChangeAspect="1"/>
                    </pic:cNvPicPr>
                  </pic:nvPicPr>
                  <pic:blipFill>
                    <a:blip r:embed="rId106"/>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39" name="图片 139" descr="06109佰润_image2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descr="06109佰润_image2_out"/>
                    <pic:cNvPicPr>
                      <a:picLocks noChangeAspect="1"/>
                    </pic:cNvPicPr>
                  </pic:nvPicPr>
                  <pic:blipFill>
                    <a:blip r:embed="rId107"/>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38" name="图片 138" descr="06109佰润_image3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8" descr="06109佰润_image3_out"/>
                    <pic:cNvPicPr>
                      <a:picLocks noChangeAspect="1"/>
                    </pic:cNvPicPr>
                  </pic:nvPicPr>
                  <pic:blipFill>
                    <a:blip r:embed="rId108"/>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37" name="图片 137" descr="06109佰润_image4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descr="06109佰润_image4_out"/>
                    <pic:cNvPicPr>
                      <a:picLocks noChangeAspect="1"/>
                    </pic:cNvPicPr>
                  </pic:nvPicPr>
                  <pic:blipFill>
                    <a:blip r:embed="rId109"/>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36" name="图片 136" descr="06109佰润_image5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descr="06109佰润_image5_out"/>
                    <pic:cNvPicPr>
                      <a:picLocks noChangeAspect="1"/>
                    </pic:cNvPicPr>
                  </pic:nvPicPr>
                  <pic:blipFill>
                    <a:blip r:embed="rId110"/>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35" name="图片 135" descr="06109佰润_image6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06109佰润_image6_out"/>
                    <pic:cNvPicPr>
                      <a:picLocks noChangeAspect="1"/>
                    </pic:cNvPicPr>
                  </pic:nvPicPr>
                  <pic:blipFill>
                    <a:blip r:embed="rId111"/>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34" name="图片 134" descr="06109佰润_image7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06109佰润_image7_out"/>
                    <pic:cNvPicPr>
                      <a:picLocks noChangeAspect="1"/>
                    </pic:cNvPicPr>
                  </pic:nvPicPr>
                  <pic:blipFill>
                    <a:blip r:embed="rId112"/>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33" name="图片 133" descr="06109佰润_image8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06109佰润_image8_out"/>
                    <pic:cNvPicPr>
                      <a:picLocks noChangeAspect="1"/>
                    </pic:cNvPicPr>
                  </pic:nvPicPr>
                  <pic:blipFill>
                    <a:blip r:embed="rId113"/>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32" name="图片 132" descr="06109佰润_image9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descr="06109佰润_image9_out"/>
                    <pic:cNvPicPr>
                      <a:picLocks noChangeAspect="1"/>
                    </pic:cNvPicPr>
                  </pic:nvPicPr>
                  <pic:blipFill>
                    <a:blip r:embed="rId114"/>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31" name="图片 131" descr="06109佰润_image10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descr="06109佰润_image10_out"/>
                    <pic:cNvPicPr>
                      <a:picLocks noChangeAspect="1"/>
                    </pic:cNvPicPr>
                  </pic:nvPicPr>
                  <pic:blipFill>
                    <a:blip r:embed="rId115"/>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30" name="图片 130" descr="06109佰润_image11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06109佰润_image11_out"/>
                    <pic:cNvPicPr>
                      <a:picLocks noChangeAspect="1"/>
                    </pic:cNvPicPr>
                  </pic:nvPicPr>
                  <pic:blipFill>
                    <a:blip r:embed="rId116"/>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29" name="图片 129" descr="06109佰润_image12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descr="06109佰润_image12_out"/>
                    <pic:cNvPicPr>
                      <a:picLocks noChangeAspect="1"/>
                    </pic:cNvPicPr>
                  </pic:nvPicPr>
                  <pic:blipFill>
                    <a:blip r:embed="rId117"/>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28" name="图片 128" descr="06109佰润_image13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descr="06109佰润_image13_out"/>
                    <pic:cNvPicPr>
                      <a:picLocks noChangeAspect="1"/>
                    </pic:cNvPicPr>
                  </pic:nvPicPr>
                  <pic:blipFill>
                    <a:blip r:embed="rId118"/>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27" name="图片 127" descr="06109佰润_image14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descr="06109佰润_image14_out"/>
                    <pic:cNvPicPr>
                      <a:picLocks noChangeAspect="1"/>
                    </pic:cNvPicPr>
                  </pic:nvPicPr>
                  <pic:blipFill>
                    <a:blip r:embed="rId119"/>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26" name="图片 126" descr="06109佰润_image15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descr="06109佰润_image15_out"/>
                    <pic:cNvPicPr>
                      <a:picLocks noChangeAspect="1"/>
                    </pic:cNvPicPr>
                  </pic:nvPicPr>
                  <pic:blipFill>
                    <a:blip r:embed="rId120"/>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25" name="图片 125" descr="06109佰润_image16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descr="06109佰润_image16_out"/>
                    <pic:cNvPicPr>
                      <a:picLocks noChangeAspect="1"/>
                    </pic:cNvPicPr>
                  </pic:nvPicPr>
                  <pic:blipFill>
                    <a:blip r:embed="rId121"/>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24" name="图片 124" descr="06109佰润_image17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4" descr="06109佰润_image17_out"/>
                    <pic:cNvPicPr>
                      <a:picLocks noChangeAspect="1"/>
                    </pic:cNvPicPr>
                  </pic:nvPicPr>
                  <pic:blipFill>
                    <a:blip r:embed="rId122"/>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23" name="图片 123" descr="06109佰润_image18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descr="06109佰润_image18_out"/>
                    <pic:cNvPicPr>
                      <a:picLocks noChangeAspect="1"/>
                    </pic:cNvPicPr>
                  </pic:nvPicPr>
                  <pic:blipFill>
                    <a:blip r:embed="rId123"/>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22" name="图片 122" descr="06109佰润_image19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descr="06109佰润_image19_out"/>
                    <pic:cNvPicPr>
                      <a:picLocks noChangeAspect="1"/>
                    </pic:cNvPicPr>
                  </pic:nvPicPr>
                  <pic:blipFill>
                    <a:blip r:embed="rId124"/>
                    <a:stretch>
                      <a:fillRect/>
                    </a:stretch>
                  </pic:blipFill>
                  <pic:spPr>
                    <a:xfrm>
                      <a:off x="0" y="0"/>
                      <a:ext cx="5268595" cy="7450455"/>
                    </a:xfrm>
                    <a:prstGeom prst="rect">
                      <a:avLst/>
                    </a:prstGeom>
                  </pic:spPr>
                </pic:pic>
              </a:graphicData>
            </a:graphic>
          </wp:inline>
        </w:drawing>
      </w:r>
    </w:p>
    <w:p/>
    <w:p>
      <w:pPr>
        <w:pStyle w:val="2"/>
      </w:pPr>
    </w:p>
    <w:p/>
    <w:p>
      <w:pPr>
        <w:pStyle w:val="2"/>
        <w:ind w:left="0" w:leftChars="0" w:firstLine="0" w:firstLineChars="0"/>
      </w:pPr>
    </w:p>
    <w:p>
      <w:pPr>
        <w:pStyle w:val="2"/>
        <w:ind w:left="0" w:leftChars="0" w:firstLine="0" w:firstLineChars="0"/>
      </w:pPr>
    </w:p>
    <w:p/>
    <w:p>
      <w:pPr>
        <w:rPr>
          <w:rFonts w:hint="eastAsia" w:eastAsia="宋体"/>
          <w:lang w:eastAsia="zh-CN"/>
        </w:rPr>
      </w:pPr>
      <w:r>
        <w:rPr>
          <w:rFonts w:hint="eastAsia" w:eastAsia="宋体"/>
          <w:lang w:eastAsia="zh-CN"/>
        </w:rPr>
        <w:drawing>
          <wp:inline distT="0" distB="0" distL="114300" distR="114300">
            <wp:extent cx="5268595" cy="7450455"/>
            <wp:effectExtent l="0" t="0" r="8255" b="17145"/>
            <wp:docPr id="101" name="图片 101" descr="07146佰润_image1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descr="07146佰润_image1_out"/>
                    <pic:cNvPicPr>
                      <a:picLocks noChangeAspect="1"/>
                    </pic:cNvPicPr>
                  </pic:nvPicPr>
                  <pic:blipFill>
                    <a:blip r:embed="rId125"/>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00" name="图片 100" descr="07146佰润_image2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descr="07146佰润_image2_out"/>
                    <pic:cNvPicPr>
                      <a:picLocks noChangeAspect="1"/>
                    </pic:cNvPicPr>
                  </pic:nvPicPr>
                  <pic:blipFill>
                    <a:blip r:embed="rId126"/>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99" name="图片 99" descr="07146佰润_image3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descr="07146佰润_image3_out"/>
                    <pic:cNvPicPr>
                      <a:picLocks noChangeAspect="1"/>
                    </pic:cNvPicPr>
                  </pic:nvPicPr>
                  <pic:blipFill>
                    <a:blip r:embed="rId127"/>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98" name="图片 98" descr="07146佰润_image4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07146佰润_image4_out"/>
                    <pic:cNvPicPr>
                      <a:picLocks noChangeAspect="1"/>
                    </pic:cNvPicPr>
                  </pic:nvPicPr>
                  <pic:blipFill>
                    <a:blip r:embed="rId128"/>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97" name="图片 97" descr="07146佰润_image5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07146佰润_image5_out"/>
                    <pic:cNvPicPr>
                      <a:picLocks noChangeAspect="1"/>
                    </pic:cNvPicPr>
                  </pic:nvPicPr>
                  <pic:blipFill>
                    <a:blip r:embed="rId129"/>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96" name="图片 96" descr="07146佰润_image6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07146佰润_image6_out"/>
                    <pic:cNvPicPr>
                      <a:picLocks noChangeAspect="1"/>
                    </pic:cNvPicPr>
                  </pic:nvPicPr>
                  <pic:blipFill>
                    <a:blip r:embed="rId130"/>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8" name="图片 18" descr="07146佰润_image7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07146佰润_image7_out"/>
                    <pic:cNvPicPr>
                      <a:picLocks noChangeAspect="1"/>
                    </pic:cNvPicPr>
                  </pic:nvPicPr>
                  <pic:blipFill>
                    <a:blip r:embed="rId131"/>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4" name="图片 14" descr="07146佰润_image8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07146佰润_image8_out"/>
                    <pic:cNvPicPr>
                      <a:picLocks noChangeAspect="1"/>
                    </pic:cNvPicPr>
                  </pic:nvPicPr>
                  <pic:blipFill>
                    <a:blip r:embed="rId132"/>
                    <a:stretch>
                      <a:fillRect/>
                    </a:stretch>
                  </pic:blipFill>
                  <pic:spPr>
                    <a:xfrm>
                      <a:off x="0" y="0"/>
                      <a:ext cx="5268595" cy="7450455"/>
                    </a:xfrm>
                    <a:prstGeom prst="rect">
                      <a:avLst/>
                    </a:prstGeom>
                  </pic:spPr>
                </pic:pic>
              </a:graphicData>
            </a:graphic>
          </wp:inline>
        </w:drawing>
      </w:r>
    </w:p>
    <w:p>
      <w:pPr>
        <w:pStyle w:val="2"/>
      </w:pPr>
    </w:p>
    <w:p/>
    <w:p>
      <w:pPr>
        <w:pStyle w:val="2"/>
      </w:pPr>
    </w:p>
    <w:p/>
    <w:p>
      <w:pPr>
        <w:pStyle w:val="2"/>
      </w:pPr>
    </w:p>
    <w:p/>
    <w:p>
      <w:pPr>
        <w:rPr>
          <w:rFonts w:hint="eastAsia" w:eastAsia="宋体"/>
          <w:lang w:eastAsia="zh-CN"/>
        </w:rPr>
      </w:pPr>
      <w:r>
        <w:rPr>
          <w:rFonts w:hint="eastAsia" w:eastAsia="宋体"/>
          <w:lang w:eastAsia="zh-CN"/>
        </w:rPr>
        <w:drawing>
          <wp:inline distT="0" distB="0" distL="114300" distR="114300">
            <wp:extent cx="5268595" cy="7450455"/>
            <wp:effectExtent l="0" t="0" r="8255" b="17145"/>
            <wp:docPr id="148" name="图片 148" descr="07149佰润_image1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8" descr="07149佰润_image1_out"/>
                    <pic:cNvPicPr>
                      <a:picLocks noChangeAspect="1"/>
                    </pic:cNvPicPr>
                  </pic:nvPicPr>
                  <pic:blipFill>
                    <a:blip r:embed="rId133"/>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47" name="图片 147" descr="07149佰润_image2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7" descr="07149佰润_image2_out"/>
                    <pic:cNvPicPr>
                      <a:picLocks noChangeAspect="1"/>
                    </pic:cNvPicPr>
                  </pic:nvPicPr>
                  <pic:blipFill>
                    <a:blip r:embed="rId134"/>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46" name="图片 146" descr="07149佰润_image3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6" descr="07149佰润_image3_out"/>
                    <pic:cNvPicPr>
                      <a:picLocks noChangeAspect="1"/>
                    </pic:cNvPicPr>
                  </pic:nvPicPr>
                  <pic:blipFill>
                    <a:blip r:embed="rId135"/>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45" name="图片 145" descr="07149佰润_image4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5" descr="07149佰润_image4_out"/>
                    <pic:cNvPicPr>
                      <a:picLocks noChangeAspect="1"/>
                    </pic:cNvPicPr>
                  </pic:nvPicPr>
                  <pic:blipFill>
                    <a:blip r:embed="rId136"/>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44" name="图片 144" descr="07149佰润_image5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descr="07149佰润_image5_out"/>
                    <pic:cNvPicPr>
                      <a:picLocks noChangeAspect="1"/>
                    </pic:cNvPicPr>
                  </pic:nvPicPr>
                  <pic:blipFill>
                    <a:blip r:embed="rId137"/>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43" name="图片 143" descr="07149佰润_image6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descr="07149佰润_image6_out"/>
                    <pic:cNvPicPr>
                      <a:picLocks noChangeAspect="1"/>
                    </pic:cNvPicPr>
                  </pic:nvPicPr>
                  <pic:blipFill>
                    <a:blip r:embed="rId138"/>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42" name="图片 142" descr="07149佰润_image7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descr="07149佰润_image7_out"/>
                    <pic:cNvPicPr>
                      <a:picLocks noChangeAspect="1"/>
                    </pic:cNvPicPr>
                  </pic:nvPicPr>
                  <pic:blipFill>
                    <a:blip r:embed="rId139"/>
                    <a:stretch>
                      <a:fillRect/>
                    </a:stretch>
                  </pic:blipFill>
                  <pic:spPr>
                    <a:xfrm>
                      <a:off x="0" y="0"/>
                      <a:ext cx="5268595" cy="7450455"/>
                    </a:xfrm>
                    <a:prstGeom prst="rect">
                      <a:avLst/>
                    </a:prstGeom>
                  </pic:spPr>
                </pic:pic>
              </a:graphicData>
            </a:graphic>
          </wp:inline>
        </w:drawing>
      </w:r>
      <w:r>
        <w:rPr>
          <w:rFonts w:hint="eastAsia" w:eastAsia="宋体"/>
          <w:lang w:eastAsia="zh-CN"/>
        </w:rPr>
        <w:drawing>
          <wp:inline distT="0" distB="0" distL="114300" distR="114300">
            <wp:extent cx="5268595" cy="7450455"/>
            <wp:effectExtent l="0" t="0" r="8255" b="17145"/>
            <wp:docPr id="141" name="图片 141" descr="07149佰润_image8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07149佰润_image8_out"/>
                    <pic:cNvPicPr>
                      <a:picLocks noChangeAspect="1"/>
                    </pic:cNvPicPr>
                  </pic:nvPicPr>
                  <pic:blipFill>
                    <a:blip r:embed="rId140"/>
                    <a:stretch>
                      <a:fillRect/>
                    </a:stretch>
                  </pic:blipFill>
                  <pic:spPr>
                    <a:xfrm>
                      <a:off x="0" y="0"/>
                      <a:ext cx="5268595" cy="7450455"/>
                    </a:xfrm>
                    <a:prstGeom prst="rect">
                      <a:avLst/>
                    </a:prstGeom>
                  </pic:spPr>
                </pic:pic>
              </a:graphicData>
            </a:graphic>
          </wp:inline>
        </w:drawing>
      </w:r>
    </w:p>
    <w:p>
      <w:pPr>
        <w:pStyle w:val="2"/>
      </w:pPr>
    </w:p>
    <w:p/>
    <w:p>
      <w:pPr>
        <w:pStyle w:val="2"/>
      </w:pPr>
    </w:p>
    <w:p/>
    <w:p>
      <w:pPr>
        <w:pStyle w:val="2"/>
      </w:pPr>
    </w:p>
    <w:p>
      <w:pPr>
        <w:widowControl/>
        <w:autoSpaceDE w:val="0"/>
        <w:autoSpaceDN w:val="0"/>
        <w:spacing w:line="360" w:lineRule="auto"/>
        <w:jc w:val="center"/>
        <w:rPr>
          <w:rFonts w:ascii="Times New Roman" w:hAnsi="Times New Roman" w:eastAsia="宋体" w:cs="Times New Roman"/>
        </w:rPr>
      </w:pPr>
      <w:r>
        <w:rPr>
          <w:rFonts w:ascii="Times New Roman" w:hAnsi="Times New Roman" w:eastAsia="宋体" w:cs="Times New Roman"/>
          <w:color w:val="000000"/>
          <w:sz w:val="32"/>
        </w:rPr>
        <w:t>其</w:t>
      </w:r>
      <w:r>
        <w:rPr>
          <w:rFonts w:ascii="Times New Roman" w:hAnsi="Times New Roman" w:eastAsia="宋体" w:cs="Times New Roman"/>
          <w:color w:val="000000"/>
          <w:spacing w:val="2"/>
          <w:sz w:val="32"/>
        </w:rPr>
        <w:t>他需</w:t>
      </w:r>
      <w:r>
        <w:rPr>
          <w:rFonts w:ascii="Times New Roman" w:hAnsi="Times New Roman" w:eastAsia="宋体" w:cs="Times New Roman"/>
          <w:color w:val="000000"/>
          <w:sz w:val="32"/>
        </w:rPr>
        <w:t>要说明</w:t>
      </w:r>
      <w:r>
        <w:rPr>
          <w:rFonts w:ascii="Times New Roman" w:hAnsi="Times New Roman" w:eastAsia="宋体" w:cs="Times New Roman"/>
          <w:color w:val="000000"/>
          <w:spacing w:val="2"/>
          <w:sz w:val="32"/>
        </w:rPr>
        <w:t>的</w:t>
      </w:r>
      <w:r>
        <w:rPr>
          <w:rFonts w:ascii="Times New Roman" w:hAnsi="Times New Roman" w:eastAsia="宋体" w:cs="Times New Roman"/>
          <w:color w:val="000000"/>
          <w:sz w:val="32"/>
        </w:rPr>
        <w:t>事项</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1环境保护设施设计、施工和验收过程简况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1.1设计简况 </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建设单位</w:t>
      </w:r>
      <w:r>
        <w:rPr>
          <w:rFonts w:hint="eastAsia" w:ascii="Times New Roman" w:hAnsi="Times New Roman" w:eastAsia="宋体" w:cs="Times New Roman"/>
          <w:sz w:val="24"/>
          <w:lang w:val="en-US" w:eastAsia="zh-CN"/>
        </w:rPr>
        <w:t>将</w:t>
      </w:r>
      <w:r>
        <w:rPr>
          <w:rFonts w:ascii="Times New Roman" w:hAnsi="Times New Roman" w:eastAsia="宋体" w:cs="Times New Roman"/>
          <w:sz w:val="24"/>
        </w:rPr>
        <w:t xml:space="preserve">建设项目的环境保护设施纳入了初步设计，环境保护设施的设计符合环境保护设计规范的要求，编制了环境保护篇章，落实了防治污染和生态破环的措施以及环境保护设施投资概算。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1.2施工简况 </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建设单位</w:t>
      </w:r>
      <w:r>
        <w:rPr>
          <w:rFonts w:ascii="Times New Roman" w:hAnsi="Times New Roman" w:eastAsia="宋体" w:cs="Times New Roman"/>
          <w:sz w:val="24"/>
        </w:rPr>
        <w:t xml:space="preserve">将环境保护设施纳入了施工合同，环境保护设施的建设进度和资金得到了保证，项目建设过程中组织实施了环境影响报告书（表）及其审批部门审批决定中提出的环境保护对策措施。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1.3验收过程简况 </w:t>
      </w:r>
    </w:p>
    <w:p>
      <w:pPr>
        <w:spacing w:line="360" w:lineRule="auto"/>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佰润新材（寿光）有限公司成立于2020年9月1日，是山东大地盐化集团有限公司子公司，厂址位于寿光侯镇化工产业园金源路以南，丰东路以东。公司厂区东侧为空地，南侧隔岔盐路为寿光金太阳热电有限公司，西侧隔丰东路为空地，北侧为山东昊邦化学有限公司。公司占地面积63290m</w:t>
      </w:r>
      <w:r>
        <w:rPr>
          <w:rFonts w:hint="eastAsia" w:ascii="Times New Roman" w:hAnsi="Times New Roman" w:eastAsia="宋体" w:cs="Times New Roman"/>
          <w:sz w:val="24"/>
          <w:vertAlign w:val="superscript"/>
        </w:rPr>
        <w:t>2</w:t>
      </w:r>
      <w:r>
        <w:rPr>
          <w:rFonts w:hint="eastAsia" w:ascii="Times New Roman" w:hAnsi="Times New Roman" w:eastAsia="宋体" w:cs="Times New Roman"/>
          <w:sz w:val="24"/>
          <w:lang w:eastAsia="zh-CN"/>
        </w:rPr>
        <w:t>。</w:t>
      </w:r>
    </w:p>
    <w:p>
      <w:pPr>
        <w:spacing w:line="360" w:lineRule="auto"/>
        <w:ind w:firstLine="480" w:firstLineChars="200"/>
        <w:rPr>
          <w:rFonts w:hint="eastAsia" w:ascii="Times New Roman" w:hAnsi="Times New Roman" w:eastAsia="宋体" w:cs="Times New Roman"/>
          <w:sz w:val="24"/>
          <w:lang w:eastAsia="zh-CN"/>
        </w:rPr>
      </w:pPr>
      <w:r>
        <w:rPr>
          <w:rFonts w:hint="eastAsia" w:ascii="Times New Roman" w:hAnsi="Times New Roman" w:eastAsia="宋体" w:cs="Times New Roman"/>
          <w:sz w:val="24"/>
        </w:rPr>
        <w:t>山东大地盐化集团有限公司（新建年产10万吨氯化石蜡项目）厂区与佰润新材（寿光）有限公司位于同一个厂区，其年产10万吨氯化石蜡项目（本次验收范围）全部由山东大地盐化集团有限公司投资建设。新建项目生产原料及产品</w:t>
      </w:r>
      <w:r>
        <w:rPr>
          <w:rFonts w:hint="eastAsia" w:ascii="Times New Roman" w:hAnsi="Times New Roman" w:eastAsia="宋体" w:cs="Times New Roman"/>
          <w:sz w:val="24"/>
          <w:lang w:val="en-US" w:eastAsia="zh-CN"/>
        </w:rPr>
        <w:t>全部</w:t>
      </w:r>
      <w:r>
        <w:rPr>
          <w:rFonts w:hint="eastAsia" w:ascii="Times New Roman" w:hAnsi="Times New Roman" w:eastAsia="宋体" w:cs="Times New Roman"/>
          <w:sz w:val="24"/>
        </w:rPr>
        <w:t>依托佰润新材（寿光）有限公司现有公辅设施</w:t>
      </w:r>
      <w:r>
        <w:rPr>
          <w:rFonts w:hint="eastAsia" w:ascii="Times New Roman" w:hAnsi="Times New Roman" w:eastAsia="宋体" w:cs="Times New Roman"/>
          <w:sz w:val="24"/>
          <w:lang w:eastAsia="zh-CN"/>
        </w:rPr>
        <w:t>。</w:t>
      </w:r>
    </w:p>
    <w:p>
      <w:pPr>
        <w:spacing w:line="360" w:lineRule="auto"/>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变更说明：山东大地盐化集团有限公司年产10万吨氯化石蜡项目于2024年3月10日双方签订收购协议，全部资产由佰润新材（寿光）有限公司接管。</w:t>
      </w:r>
    </w:p>
    <w:p>
      <w:pPr>
        <w:spacing w:line="360" w:lineRule="auto"/>
        <w:ind w:firstLine="480" w:firstLineChars="200"/>
        <w:rPr>
          <w:rFonts w:hint="eastAsia" w:ascii="Times New Roman" w:hAnsi="Times New Roman" w:eastAsia="宋体" w:cs="Times New Roman"/>
          <w:sz w:val="24"/>
          <w:lang w:eastAsia="zh-CN"/>
        </w:rPr>
      </w:pPr>
      <w:r>
        <w:rPr>
          <w:rFonts w:hint="eastAsia" w:ascii="Times New Roman" w:hAnsi="Times New Roman" w:eastAsia="宋体" w:cs="Times New Roman"/>
          <w:sz w:val="24"/>
        </w:rPr>
        <w:t>该项目实际劳动定员</w:t>
      </w:r>
      <w:r>
        <w:rPr>
          <w:rFonts w:hint="eastAsia" w:ascii="Times New Roman" w:hAnsi="Times New Roman" w:eastAsia="宋体" w:cs="Times New Roman"/>
          <w:sz w:val="24"/>
          <w:lang w:val="en-US" w:eastAsia="zh-CN"/>
        </w:rPr>
        <w:t>30</w:t>
      </w:r>
      <w:r>
        <w:rPr>
          <w:rFonts w:hint="eastAsia" w:ascii="Times New Roman" w:hAnsi="Times New Roman" w:eastAsia="宋体" w:cs="Times New Roman"/>
          <w:sz w:val="24"/>
        </w:rPr>
        <w:t>人，采用</w:t>
      </w:r>
      <w:r>
        <w:rPr>
          <w:rFonts w:hint="eastAsia" w:ascii="Times New Roman" w:hAnsi="Times New Roman" w:eastAsia="宋体" w:cs="Times New Roman"/>
          <w:sz w:val="24"/>
          <w:lang w:val="en-US" w:eastAsia="zh-CN"/>
        </w:rPr>
        <w:t>三班制</w:t>
      </w:r>
      <w:r>
        <w:rPr>
          <w:rFonts w:hint="eastAsia" w:ascii="Times New Roman" w:hAnsi="Times New Roman" w:eastAsia="宋体" w:cs="Times New Roman"/>
          <w:sz w:val="24"/>
        </w:rPr>
        <w:t>，每天工作24小时，年工作330天，年工作时间7920小时</w:t>
      </w:r>
      <w:r>
        <w:rPr>
          <w:rFonts w:hint="eastAsia" w:ascii="Times New Roman" w:hAnsi="Times New Roman" w:eastAsia="宋体" w:cs="Times New Roman"/>
          <w:sz w:val="24"/>
          <w:lang w:eastAsia="zh-CN"/>
        </w:rPr>
        <w:t>。</w:t>
      </w:r>
    </w:p>
    <w:p>
      <w:pPr>
        <w:spacing w:line="360" w:lineRule="auto"/>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山东同方环境技术服务有限公司于2023年7月编制完成了《山东大地盐化集团有限公司年产10万吨氯化石蜡项目环境影响报告书》。潍坊市生态环境局寿光分局于2023年8月9日对本项目环境影响报告书进行了批复，批准文号寿环审字【2023】21号。</w:t>
      </w:r>
    </w:p>
    <w:p>
      <w:pPr>
        <w:spacing w:line="360" w:lineRule="auto"/>
        <w:ind w:firstLine="480" w:firstLineChars="200"/>
        <w:rPr>
          <w:rFonts w:hint="eastAsia" w:ascii="Times New Roman" w:hAnsi="Times New Roman" w:eastAsia="宋体" w:cs="Times New Roman"/>
          <w:sz w:val="24"/>
          <w:lang w:eastAsia="zh-CN"/>
        </w:rPr>
      </w:pPr>
      <w:r>
        <w:rPr>
          <w:rFonts w:hint="eastAsia" w:ascii="Times New Roman" w:hAnsi="Times New Roman" w:eastAsia="宋体" w:cs="Times New Roman"/>
          <w:sz w:val="24"/>
        </w:rPr>
        <w:t>项目于2023年</w:t>
      </w:r>
      <w:r>
        <w:rPr>
          <w:rFonts w:hint="eastAsia" w:ascii="Times New Roman" w:hAnsi="Times New Roman" w:eastAsia="宋体" w:cs="Times New Roman"/>
          <w:sz w:val="24"/>
          <w:lang w:val="en-US" w:eastAsia="zh-CN"/>
        </w:rPr>
        <w:t>12</w:t>
      </w:r>
      <w:r>
        <w:rPr>
          <w:rFonts w:hint="eastAsia" w:ascii="Times New Roman" w:hAnsi="Times New Roman" w:eastAsia="宋体" w:cs="Times New Roman"/>
          <w:sz w:val="24"/>
        </w:rPr>
        <w:t>月1日开工建设，公司2024年4月25日重新申领排污许可证，证书编号91370783MA3TWP7A8J001V</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rPr>
        <w:t>2024年4月2</w:t>
      </w:r>
      <w:r>
        <w:rPr>
          <w:rFonts w:hint="eastAsia" w:ascii="Times New Roman" w:hAnsi="Times New Roman" w:eastAsia="宋体" w:cs="Times New Roman"/>
          <w:sz w:val="24"/>
          <w:lang w:val="en-US" w:eastAsia="zh-CN"/>
        </w:rPr>
        <w:t>8</w:t>
      </w:r>
      <w:r>
        <w:rPr>
          <w:rFonts w:hint="eastAsia" w:ascii="Times New Roman" w:hAnsi="Times New Roman" w:eastAsia="宋体" w:cs="Times New Roman"/>
          <w:sz w:val="24"/>
        </w:rPr>
        <w:t>日进行了调试，</w:t>
      </w:r>
      <w:r>
        <w:rPr>
          <w:rFonts w:hint="eastAsia" w:ascii="Times New Roman" w:hAnsi="Times New Roman" w:eastAsia="宋体" w:cs="Times New Roman"/>
          <w:sz w:val="24"/>
          <w:lang w:eastAsia="zh-CN"/>
        </w:rPr>
        <w:t>202</w:t>
      </w:r>
      <w:r>
        <w:rPr>
          <w:rFonts w:hint="eastAsia" w:ascii="Times New Roman" w:hAnsi="Times New Roman" w:eastAsia="宋体" w:cs="Times New Roman"/>
          <w:sz w:val="24"/>
          <w:lang w:val="en-US" w:eastAsia="zh-CN"/>
        </w:rPr>
        <w:t>4</w:t>
      </w:r>
      <w:r>
        <w:rPr>
          <w:rFonts w:hint="eastAsia" w:ascii="Times New Roman" w:hAnsi="Times New Roman" w:eastAsia="宋体" w:cs="Times New Roman"/>
          <w:sz w:val="24"/>
          <w:lang w:eastAsia="zh-CN"/>
        </w:rPr>
        <w:t>年</w:t>
      </w:r>
      <w:r>
        <w:rPr>
          <w:rFonts w:hint="eastAsia" w:ascii="Times New Roman" w:hAnsi="Times New Roman" w:eastAsia="宋体" w:cs="Times New Roman"/>
          <w:sz w:val="24"/>
          <w:lang w:val="en-US" w:eastAsia="zh-CN"/>
        </w:rPr>
        <w:t>6</w:t>
      </w:r>
      <w:r>
        <w:rPr>
          <w:rFonts w:hint="eastAsia" w:ascii="Times New Roman" w:hAnsi="Times New Roman" w:eastAsia="宋体" w:cs="Times New Roman"/>
          <w:sz w:val="24"/>
          <w:lang w:eastAsia="zh-CN"/>
        </w:rPr>
        <w:t>月</w:t>
      </w:r>
      <w:r>
        <w:rPr>
          <w:rFonts w:hint="eastAsia" w:ascii="Times New Roman" w:hAnsi="Times New Roman" w:eastAsia="宋体" w:cs="Times New Roman"/>
          <w:sz w:val="24"/>
          <w:lang w:val="en-US" w:eastAsia="zh-CN"/>
        </w:rPr>
        <w:t>13</w:t>
      </w:r>
      <w:r>
        <w:rPr>
          <w:rFonts w:hint="eastAsia" w:ascii="Times New Roman" w:hAnsi="Times New Roman" w:eastAsia="宋体" w:cs="Times New Roman"/>
          <w:sz w:val="24"/>
          <w:lang w:eastAsia="zh-CN"/>
        </w:rPr>
        <w:t>日</w:t>
      </w:r>
      <w:r>
        <w:rPr>
          <w:rFonts w:hint="eastAsia" w:ascii="Times New Roman" w:hAnsi="Times New Roman" w:eastAsia="宋体" w:cs="Times New Roman"/>
          <w:sz w:val="24"/>
          <w:lang w:val="en-US" w:eastAsia="zh-CN"/>
        </w:rPr>
        <w:t>、6</w:t>
      </w:r>
      <w:r>
        <w:rPr>
          <w:rFonts w:hint="eastAsia" w:ascii="Times New Roman" w:hAnsi="Times New Roman" w:eastAsia="宋体" w:cs="Times New Roman"/>
          <w:sz w:val="24"/>
          <w:lang w:eastAsia="zh-CN"/>
        </w:rPr>
        <w:t>月</w:t>
      </w:r>
      <w:r>
        <w:rPr>
          <w:rFonts w:hint="eastAsia" w:ascii="Times New Roman" w:hAnsi="Times New Roman" w:eastAsia="宋体" w:cs="Times New Roman"/>
          <w:sz w:val="24"/>
          <w:lang w:val="en-US" w:eastAsia="zh-CN"/>
        </w:rPr>
        <w:t>15</w:t>
      </w:r>
      <w:r>
        <w:rPr>
          <w:rFonts w:hint="eastAsia" w:ascii="Times New Roman" w:hAnsi="Times New Roman" w:eastAsia="宋体" w:cs="Times New Roman"/>
          <w:sz w:val="24"/>
          <w:lang w:eastAsia="zh-CN"/>
        </w:rPr>
        <w:t>日、</w:t>
      </w:r>
      <w:r>
        <w:rPr>
          <w:rFonts w:hint="eastAsia" w:ascii="Times New Roman" w:hAnsi="Times New Roman" w:eastAsia="宋体" w:cs="Times New Roman"/>
          <w:sz w:val="24"/>
          <w:lang w:val="en-US" w:eastAsia="zh-CN"/>
        </w:rPr>
        <w:t>7</w:t>
      </w:r>
      <w:r>
        <w:rPr>
          <w:rFonts w:hint="eastAsia" w:ascii="Times New Roman" w:hAnsi="Times New Roman" w:eastAsia="宋体" w:cs="Times New Roman"/>
          <w:sz w:val="24"/>
          <w:lang w:eastAsia="zh-CN"/>
        </w:rPr>
        <w:t>月</w:t>
      </w:r>
      <w:r>
        <w:rPr>
          <w:rFonts w:hint="eastAsia" w:ascii="Times New Roman" w:hAnsi="Times New Roman" w:eastAsia="宋体" w:cs="Times New Roman"/>
          <w:sz w:val="24"/>
          <w:lang w:val="en-US" w:eastAsia="zh-CN"/>
        </w:rPr>
        <w:t>14</w:t>
      </w:r>
      <w:r>
        <w:rPr>
          <w:rFonts w:hint="eastAsia" w:ascii="Times New Roman" w:hAnsi="Times New Roman" w:eastAsia="宋体" w:cs="Times New Roman"/>
          <w:sz w:val="24"/>
          <w:lang w:eastAsia="zh-CN"/>
        </w:rPr>
        <w:t>日、</w:t>
      </w:r>
      <w:r>
        <w:rPr>
          <w:rFonts w:hint="eastAsia" w:ascii="Times New Roman" w:hAnsi="Times New Roman" w:eastAsia="宋体" w:cs="Times New Roman"/>
          <w:sz w:val="24"/>
          <w:lang w:val="en-US" w:eastAsia="zh-CN"/>
        </w:rPr>
        <w:t>7</w:t>
      </w:r>
      <w:r>
        <w:rPr>
          <w:rFonts w:hint="eastAsia" w:ascii="Times New Roman" w:hAnsi="Times New Roman" w:eastAsia="宋体" w:cs="Times New Roman"/>
          <w:sz w:val="24"/>
          <w:lang w:eastAsia="zh-CN"/>
        </w:rPr>
        <w:t>月</w:t>
      </w:r>
      <w:r>
        <w:rPr>
          <w:rFonts w:hint="eastAsia" w:ascii="Times New Roman" w:hAnsi="Times New Roman" w:eastAsia="宋体" w:cs="Times New Roman"/>
          <w:sz w:val="24"/>
          <w:lang w:val="en-US" w:eastAsia="zh-CN"/>
        </w:rPr>
        <w:t>15</w:t>
      </w:r>
      <w:r>
        <w:rPr>
          <w:rFonts w:hint="eastAsia" w:ascii="Times New Roman" w:hAnsi="Times New Roman" w:eastAsia="宋体" w:cs="Times New Roman"/>
          <w:sz w:val="24"/>
          <w:lang w:eastAsia="zh-CN"/>
        </w:rPr>
        <w:t>日，山东</w:t>
      </w:r>
      <w:r>
        <w:rPr>
          <w:rFonts w:hint="eastAsia" w:ascii="Times New Roman" w:hAnsi="Times New Roman" w:eastAsia="宋体" w:cs="Times New Roman"/>
          <w:sz w:val="24"/>
          <w:lang w:val="en-US" w:eastAsia="zh-CN"/>
        </w:rPr>
        <w:t>潍科</w:t>
      </w:r>
      <w:r>
        <w:rPr>
          <w:rFonts w:hint="eastAsia" w:ascii="Times New Roman" w:hAnsi="Times New Roman" w:eastAsia="宋体" w:cs="Times New Roman"/>
          <w:sz w:val="24"/>
          <w:lang w:eastAsia="zh-CN"/>
        </w:rPr>
        <w:t>检测</w:t>
      </w:r>
      <w:r>
        <w:rPr>
          <w:rFonts w:hint="eastAsia" w:ascii="Times New Roman" w:hAnsi="Times New Roman" w:eastAsia="宋体" w:cs="Times New Roman"/>
          <w:sz w:val="24"/>
          <w:lang w:val="en-US" w:eastAsia="zh-CN"/>
        </w:rPr>
        <w:t>服务</w:t>
      </w:r>
      <w:r>
        <w:rPr>
          <w:rFonts w:hint="eastAsia" w:ascii="Times New Roman" w:hAnsi="Times New Roman" w:eastAsia="宋体" w:cs="Times New Roman"/>
          <w:sz w:val="24"/>
          <w:lang w:eastAsia="zh-CN"/>
        </w:rPr>
        <w:t>有限公司完成现场监测。</w:t>
      </w:r>
    </w:p>
    <w:p>
      <w:pPr>
        <w:spacing w:line="360" w:lineRule="auto"/>
        <w:ind w:firstLine="480" w:firstLineChars="200"/>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202</w:t>
      </w:r>
      <w:r>
        <w:rPr>
          <w:rFonts w:hint="eastAsia" w:ascii="Times New Roman" w:hAnsi="Times New Roman" w:eastAsia="宋体" w:cs="Times New Roman"/>
          <w:sz w:val="24"/>
          <w:lang w:val="en-US" w:eastAsia="zh-CN"/>
        </w:rPr>
        <w:t>4</w:t>
      </w:r>
      <w:r>
        <w:rPr>
          <w:rFonts w:hint="eastAsia" w:ascii="Times New Roman" w:hAnsi="Times New Roman" w:eastAsia="宋体" w:cs="Times New Roman"/>
          <w:sz w:val="24"/>
          <w:lang w:eastAsia="zh-CN"/>
        </w:rPr>
        <w:t>年</w:t>
      </w:r>
      <w:r>
        <w:rPr>
          <w:rFonts w:hint="eastAsia" w:ascii="Times New Roman" w:hAnsi="Times New Roman" w:eastAsia="宋体" w:cs="Times New Roman"/>
          <w:sz w:val="24"/>
          <w:lang w:val="en-US" w:eastAsia="zh-CN"/>
        </w:rPr>
        <w:t>7</w:t>
      </w:r>
      <w:r>
        <w:rPr>
          <w:rFonts w:hint="eastAsia" w:ascii="Times New Roman" w:hAnsi="Times New Roman" w:eastAsia="宋体" w:cs="Times New Roman"/>
          <w:sz w:val="24"/>
          <w:lang w:eastAsia="zh-CN"/>
        </w:rPr>
        <w:t>月</w:t>
      </w:r>
      <w:r>
        <w:rPr>
          <w:rFonts w:hint="eastAsia" w:ascii="Times New Roman" w:hAnsi="Times New Roman" w:eastAsia="宋体" w:cs="Times New Roman"/>
          <w:sz w:val="24"/>
          <w:lang w:val="en-US" w:eastAsia="zh-CN"/>
        </w:rPr>
        <w:t>20</w:t>
      </w:r>
      <w:r>
        <w:rPr>
          <w:rFonts w:hint="eastAsia" w:ascii="Times New Roman" w:hAnsi="Times New Roman" w:eastAsia="宋体" w:cs="Times New Roman"/>
          <w:sz w:val="24"/>
          <w:lang w:eastAsia="zh-CN"/>
        </w:rPr>
        <w:t>日，佰润新材（寿光）有限公司组织会议，对“年产10万吨氯化石蜡项目”进行了竣工环境保护现场验收。</w:t>
      </w:r>
    </w:p>
    <w:p>
      <w:pPr>
        <w:spacing w:line="360" w:lineRule="auto"/>
        <w:ind w:firstLine="480" w:firstLineChars="200"/>
        <w:rPr>
          <w:rFonts w:hint="eastAsia" w:ascii="Times New Roman" w:hAnsi="Times New Roman" w:eastAsia="新宋体" w:cs="Times New Roman"/>
          <w:b w:val="0"/>
          <w:bCs w:val="0"/>
          <w:color w:val="auto"/>
          <w:sz w:val="24"/>
          <w:szCs w:val="24"/>
          <w:lang w:eastAsia="zh-CN"/>
        </w:rPr>
      </w:pPr>
      <w:r>
        <w:rPr>
          <w:rFonts w:hint="eastAsia" w:ascii="Times New Roman" w:hAnsi="Times New Roman" w:eastAsia="宋体" w:cs="Times New Roman"/>
          <w:sz w:val="24"/>
          <w:lang w:eastAsia="zh-CN"/>
        </w:rPr>
        <w:t>验收结论：佰润新材（寿光）有限公司年产10万吨氯化石蜡项目</w:t>
      </w:r>
      <w:r>
        <w:rPr>
          <w:rFonts w:hint="eastAsia" w:ascii="Times New Roman" w:hAnsi="Times New Roman" w:eastAsia="宋体" w:cs="Times New Roman"/>
          <w:sz w:val="24"/>
          <w:lang w:val="zh-CN" w:eastAsia="zh-CN"/>
        </w:rPr>
        <w:t>环保手续齐全，落实了环评批复中提出的各项环保措施和要求，环境污染防治和环境风险防范措施总体可行，主要污染物</w:t>
      </w:r>
      <w:bookmarkStart w:id="113" w:name="_GoBack"/>
      <w:bookmarkEnd w:id="113"/>
      <w:r>
        <w:rPr>
          <w:rFonts w:hint="eastAsia" w:ascii="Times New Roman" w:hAnsi="Times New Roman" w:eastAsia="宋体" w:cs="Times New Roman"/>
          <w:sz w:val="24"/>
          <w:lang w:val="zh-CN" w:eastAsia="zh-CN"/>
        </w:rPr>
        <w:t>基本能够达标排放，满足污染物</w:t>
      </w:r>
      <w:r>
        <w:rPr>
          <w:rFonts w:hint="eastAsia" w:ascii="Times New Roman" w:hAnsi="Times New Roman" w:eastAsia="新宋体" w:cs="Times New Roman"/>
          <w:b w:val="0"/>
          <w:bCs w:val="0"/>
          <w:color w:val="auto"/>
          <w:sz w:val="24"/>
          <w:szCs w:val="24"/>
          <w:lang w:val="zh-CN" w:eastAsia="zh-CN"/>
        </w:rPr>
        <w:t>排放总量控制要求，符合建设项目竣工环境保护验收条件。项目竣工环境保护验收合格。</w:t>
      </w:r>
    </w:p>
    <w:p>
      <w:pPr>
        <w:spacing w:line="360" w:lineRule="auto"/>
        <w:ind w:firstLine="240" w:firstLineChars="100"/>
        <w:rPr>
          <w:rFonts w:ascii="Times New Roman" w:hAnsi="Times New Roman" w:eastAsia="宋体" w:cs="Times New Roman"/>
          <w:sz w:val="24"/>
        </w:rPr>
      </w:pPr>
      <w:r>
        <w:rPr>
          <w:rFonts w:ascii="Times New Roman" w:hAnsi="Times New Roman" w:eastAsia="宋体" w:cs="Times New Roman"/>
          <w:sz w:val="24"/>
        </w:rPr>
        <w:t xml:space="preserve">1.4公众反馈意见及处理情况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建设项目设计、施工和验收期间</w:t>
      </w:r>
      <w:r>
        <w:rPr>
          <w:rFonts w:hint="eastAsia" w:ascii="Times New Roman" w:hAnsi="Times New Roman" w:eastAsia="宋体" w:cs="Times New Roman"/>
          <w:sz w:val="24"/>
          <w:lang w:val="en-US" w:eastAsia="zh-CN"/>
        </w:rPr>
        <w:t>未</w:t>
      </w:r>
      <w:r>
        <w:rPr>
          <w:rFonts w:ascii="Times New Roman" w:hAnsi="Times New Roman" w:eastAsia="宋体" w:cs="Times New Roman"/>
          <w:sz w:val="24"/>
        </w:rPr>
        <w:t xml:space="preserve">收到过公众反馈意见或投诉、反馈或投诉的内容。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2其他环境保护措施的落实情况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环境影响报告书（表）及其审批部门审批决定中提出的，除环境保护设施外的其他环境保护措施，主要包括制度措施和配套措施等，现将需要说明的措施内容和要求梳理如下：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2.1制度措施落实情况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 （1）环保组织机构及规章制度 </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lang w:val="en-US" w:eastAsia="zh-CN"/>
        </w:rPr>
        <w:t>企业</w:t>
      </w:r>
      <w:r>
        <w:rPr>
          <w:rFonts w:ascii="Times New Roman" w:hAnsi="Times New Roman" w:eastAsia="宋体" w:cs="Times New Roman"/>
          <w:sz w:val="24"/>
        </w:rPr>
        <w:t>建立了环保组织机构，机构人员组成及职责分工；</w:t>
      </w:r>
      <w:r>
        <w:rPr>
          <w:rFonts w:hint="eastAsia" w:ascii="Times New Roman" w:hAnsi="Times New Roman" w:eastAsia="宋体" w:cs="Times New Roman"/>
          <w:sz w:val="24"/>
          <w:lang w:val="en-US" w:eastAsia="zh-CN"/>
        </w:rPr>
        <w:t>制定了</w:t>
      </w:r>
      <w:r>
        <w:rPr>
          <w:rFonts w:ascii="Times New Roman" w:hAnsi="Times New Roman" w:eastAsia="宋体" w:cs="Times New Roman"/>
          <w:sz w:val="24"/>
        </w:rPr>
        <w:t xml:space="preserve">环保规章制度及主要内容，包括环境保护设施调试及日常运行维护制度、环境管理台账记录要求、运行维护费用保障计划等。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 （2）环境风险防范措施 </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lang w:val="en-US" w:eastAsia="zh-CN"/>
        </w:rPr>
        <w:t>企业</w:t>
      </w:r>
      <w:r>
        <w:rPr>
          <w:rFonts w:ascii="Times New Roman" w:hAnsi="Times New Roman" w:eastAsia="宋体" w:cs="Times New Roman"/>
          <w:sz w:val="24"/>
        </w:rPr>
        <w:t>制订了完善的环境风险应急预案、进行了备案</w:t>
      </w:r>
      <w:r>
        <w:rPr>
          <w:rFonts w:hint="eastAsia" w:ascii="Times New Roman" w:hAnsi="Times New Roman" w:eastAsia="宋体" w:cs="Times New Roman"/>
          <w:sz w:val="24"/>
          <w:lang w:val="en-US" w:eastAsia="zh-CN"/>
        </w:rPr>
        <w:t>并</w:t>
      </w:r>
      <w:r>
        <w:rPr>
          <w:rFonts w:ascii="Times New Roman" w:hAnsi="Times New Roman" w:eastAsia="宋体" w:cs="Times New Roman"/>
          <w:sz w:val="24"/>
        </w:rPr>
        <w:t>有备案文件、预案中明确了区域应急联动方案，</w:t>
      </w:r>
      <w:r>
        <w:rPr>
          <w:rFonts w:hint="eastAsia" w:ascii="Times New Roman" w:hAnsi="Times New Roman" w:eastAsia="宋体" w:cs="Times New Roman"/>
          <w:sz w:val="24"/>
          <w:lang w:val="en-US" w:eastAsia="zh-CN"/>
        </w:rPr>
        <w:t>已</w:t>
      </w:r>
      <w:r>
        <w:rPr>
          <w:rFonts w:ascii="Times New Roman" w:hAnsi="Times New Roman" w:eastAsia="宋体" w:cs="Times New Roman"/>
          <w:sz w:val="24"/>
        </w:rPr>
        <w:t xml:space="preserve">按照预案进行过演练。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 （3）环境监测计划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企业</w:t>
      </w:r>
      <w:r>
        <w:rPr>
          <w:rFonts w:hint="eastAsia" w:ascii="Times New Roman" w:hAnsi="Times New Roman" w:eastAsia="宋体" w:cs="Times New Roman"/>
          <w:sz w:val="24"/>
          <w:lang w:val="en-US" w:eastAsia="zh-CN"/>
        </w:rPr>
        <w:t>已</w:t>
      </w:r>
      <w:r>
        <w:rPr>
          <w:rFonts w:ascii="Times New Roman" w:hAnsi="Times New Roman" w:eastAsia="宋体" w:cs="Times New Roman"/>
          <w:sz w:val="24"/>
        </w:rPr>
        <w:t>按照环境影响报告书（表）及其审批部门审批决定要求制定了环境监测计划，</w:t>
      </w:r>
      <w:r>
        <w:rPr>
          <w:rFonts w:hint="eastAsia" w:ascii="Times New Roman" w:hAnsi="Times New Roman" w:eastAsia="宋体" w:cs="Times New Roman"/>
          <w:sz w:val="24"/>
          <w:lang w:val="en-US" w:eastAsia="zh-CN"/>
        </w:rPr>
        <w:t>按</w:t>
      </w:r>
      <w:r>
        <w:rPr>
          <w:rFonts w:ascii="Times New Roman" w:hAnsi="Times New Roman" w:eastAsia="宋体" w:cs="Times New Roman"/>
          <w:sz w:val="24"/>
        </w:rPr>
        <w:t>计划进行过监测，</w:t>
      </w:r>
      <w:r>
        <w:rPr>
          <w:rFonts w:hint="eastAsia" w:ascii="Times New Roman" w:hAnsi="Times New Roman" w:eastAsia="宋体" w:cs="Times New Roman"/>
          <w:sz w:val="24"/>
        </w:rPr>
        <w:t>各污染物均实现达标排放</w:t>
      </w:r>
      <w:r>
        <w:rPr>
          <w:rFonts w:ascii="Times New Roman" w:hAnsi="Times New Roman" w:eastAsia="宋体" w:cs="Times New Roman"/>
          <w:sz w:val="24"/>
        </w:rPr>
        <w:t>。</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2.2配套措施落实情况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ab/>
      </w:r>
      <w:r>
        <w:rPr>
          <w:rFonts w:ascii="Times New Roman" w:hAnsi="Times New Roman" w:eastAsia="宋体" w:cs="Times New Roman"/>
          <w:sz w:val="24"/>
        </w:rPr>
        <w:t xml:space="preserve"> （1）区域削减及淘汰落后产能 </w:t>
      </w:r>
    </w:p>
    <w:p>
      <w:pPr>
        <w:spacing w:line="360" w:lineRule="auto"/>
        <w:ind w:firstLine="480" w:firstLineChars="200"/>
        <w:rPr>
          <w:rFonts w:hint="eastAsia" w:ascii="Times New Roman" w:hAnsi="Times New Roman" w:eastAsia="宋体" w:cs="Times New Roman"/>
          <w:sz w:val="24"/>
          <w:lang w:eastAsia="zh-CN"/>
        </w:rPr>
      </w:pPr>
      <w:r>
        <w:rPr>
          <w:rFonts w:ascii="Times New Roman" w:hAnsi="Times New Roman" w:eastAsia="宋体" w:cs="Times New Roman"/>
          <w:sz w:val="24"/>
        </w:rPr>
        <w:tab/>
      </w:r>
      <w:r>
        <w:rPr>
          <w:rFonts w:hint="eastAsia" w:ascii="Times New Roman" w:hAnsi="Times New Roman" w:eastAsia="宋体" w:cs="Times New Roman"/>
          <w:sz w:val="24"/>
          <w:szCs w:val="24"/>
        </w:rPr>
        <w:t>该项目不涉及</w:t>
      </w:r>
      <w:r>
        <w:rPr>
          <w:rFonts w:ascii="Times New Roman" w:hAnsi="Times New Roman" w:eastAsia="宋体" w:cs="Times New Roman"/>
          <w:sz w:val="24"/>
        </w:rPr>
        <w:t>区域内削减污染物总量措施和淘汰落后产能</w:t>
      </w:r>
      <w:r>
        <w:rPr>
          <w:rFonts w:hint="eastAsia" w:ascii="Times New Roman" w:hAnsi="Times New Roman" w:eastAsia="宋体" w:cs="Times New Roman"/>
          <w:sz w:val="24"/>
          <w:lang w:eastAsia="zh-CN"/>
        </w:rPr>
        <w:t>。</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ab/>
      </w:r>
      <w:r>
        <w:rPr>
          <w:rFonts w:ascii="Times New Roman" w:hAnsi="Times New Roman" w:eastAsia="宋体" w:cs="Times New Roman"/>
          <w:sz w:val="24"/>
        </w:rPr>
        <w:t xml:space="preserve"> （2）防护距离控制及居民搬迁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ab/>
      </w:r>
      <w:r>
        <w:rPr>
          <w:rFonts w:hint="eastAsia" w:ascii="Times New Roman" w:hAnsi="Times New Roman" w:eastAsia="宋体" w:cs="Times New Roman"/>
          <w:sz w:val="24"/>
        </w:rPr>
        <w:t>该项目防护距离内没有常住居民，不涉及居民搬迁</w:t>
      </w:r>
      <w:r>
        <w:rPr>
          <w:rFonts w:ascii="Times New Roman" w:hAnsi="Times New Roman" w:eastAsia="宋体" w:cs="Times New Roman"/>
          <w:sz w:val="24"/>
        </w:rPr>
        <w:t xml:space="preserve">。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2.3其他措施落实情况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ab/>
      </w:r>
      <w:r>
        <w:rPr>
          <w:rFonts w:hint="eastAsia" w:ascii="Times New Roman" w:hAnsi="Times New Roman" w:eastAsia="宋体" w:cs="Times New Roman"/>
          <w:sz w:val="24"/>
          <w:szCs w:val="24"/>
        </w:rPr>
        <w:t>该项目不涉及</w:t>
      </w:r>
      <w:r>
        <w:rPr>
          <w:rFonts w:ascii="Times New Roman" w:hAnsi="Times New Roman" w:eastAsia="宋体" w:cs="Times New Roman"/>
          <w:sz w:val="24"/>
        </w:rPr>
        <w:t xml:space="preserve">林地补偿、珍稀动植物保护、区域环境整治、相关外围工程建设。 </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3整改工作情况 </w:t>
      </w:r>
    </w:p>
    <w:p>
      <w:pPr>
        <w:ind w:firstLine="480" w:firstLineChars="200"/>
        <w:rPr>
          <w:rFonts w:hint="eastAsia" w:eastAsia="宋体"/>
          <w:lang w:val="en-US" w:eastAsia="zh-CN"/>
        </w:rPr>
      </w:pPr>
      <w:r>
        <w:rPr>
          <w:rFonts w:ascii="Times New Roman" w:hAnsi="Times New Roman" w:eastAsia="宋体" w:cs="Times New Roman"/>
          <w:sz w:val="24"/>
        </w:rPr>
        <w:t>根据验收意见，建设项目竣工验收合格，各项环保措施已落实到位，无需整改</w:t>
      </w:r>
      <w:r>
        <w:rPr>
          <w:rFonts w:hint="eastAsia" w:cs="Times New Roman"/>
          <w:sz w:val="24"/>
          <w:lang w:eastAsia="zh-CN"/>
        </w:rPr>
        <w:t>。</w:t>
      </w:r>
    </w:p>
    <w:p>
      <w:pPr>
        <w:contextualSpacing/>
        <w:jc w:val="left"/>
      </w:pPr>
    </w:p>
    <w:p>
      <w:pPr>
        <w:pStyle w:val="2"/>
      </w:pPr>
    </w:p>
    <w:p/>
    <w:p>
      <w:pPr>
        <w:pStyle w:val="2"/>
      </w:pPr>
    </w:p>
    <w:p/>
    <w:p>
      <w:pPr>
        <w:pStyle w:val="2"/>
      </w:pPr>
    </w:p>
    <w:p/>
    <w:p>
      <w:pPr>
        <w:pStyle w:val="2"/>
      </w:pPr>
    </w:p>
    <w:p/>
    <w:p>
      <w:pPr>
        <w:pStyle w:val="2"/>
      </w:pPr>
    </w:p>
    <w:p/>
    <w:p>
      <w:pPr>
        <w:pStyle w:val="2"/>
        <w:ind w:left="0" w:leftChars="0" w:firstLine="0" w:firstLineChars="0"/>
      </w:pPr>
    </w:p>
    <w:sectPr>
      <w:footerReference r:id="rId21"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á￥êé">
    <w:altName w:val="宋体"/>
    <w:panose1 w:val="00000000000000000000"/>
    <w:charset w:val="86"/>
    <w:family w:val="roman"/>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方正宋三简体">
    <w:altName w:val="宋体"/>
    <w:panose1 w:val="00000000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TimesNewRomanPS-BoldMT">
    <w:altName w:val="Times New Roman"/>
    <w:panose1 w:val="00000000000000000000"/>
    <w:charset w:val="00"/>
    <w:family w:val="roman"/>
    <w:pitch w:val="default"/>
    <w:sig w:usb0="00000000" w:usb1="00000000" w:usb2="00000000" w:usb3="00000000" w:csb0="00000001" w:csb1="00000000"/>
  </w:font>
  <w:font w:name="宋">
    <w:altName w:val="宋体"/>
    <w:panose1 w:val="00000000000000000000"/>
    <w:charset w:val="86"/>
    <w:family w:val="roman"/>
    <w:pitch w:val="default"/>
    <w:sig w:usb0="00000000" w:usb1="00000000" w:usb2="00000010" w:usb3="00000000" w:csb0="00040000" w:csb1="00000000"/>
  </w:font>
  <w:font w:name="TimesNewRomanPSMT">
    <w:altName w:val="Times New Roman"/>
    <w:panose1 w:val="00000000000000000000"/>
    <w:charset w:val="80"/>
    <w:family w:val="roman"/>
    <w:pitch w:val="default"/>
    <w:sig w:usb0="00000000" w:usb1="00000000" w:usb2="00000010" w:usb3="00000000" w:csb0="00060001" w:csb1="00000000"/>
  </w:font>
  <w:font w:name="TimesNewRomanPS-ItalicMT">
    <w:altName w:val="Times New Roman"/>
    <w:panose1 w:val="00000000000000000000"/>
    <w:charset w:val="00"/>
    <w:family w:val="roman"/>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t xml:space="preserve">                                    </w:t>
    </w:r>
  </w:p>
  <w:p>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4972685" cy="147955"/>
              <wp:effectExtent l="0" t="0" r="0" b="0"/>
              <wp:wrapNone/>
              <wp:docPr id="775762852" name="文本框 33"/>
              <wp:cNvGraphicFramePr/>
              <a:graphic xmlns:a="http://schemas.openxmlformats.org/drawingml/2006/main">
                <a:graphicData uri="http://schemas.microsoft.com/office/word/2010/wordprocessingShape">
                  <wps:wsp>
                    <wps:cNvSpPr txBox="1"/>
                    <wps:spPr>
                      <a:xfrm>
                        <a:off x="0" y="0"/>
                        <a:ext cx="4972685" cy="147955"/>
                      </a:xfrm>
                      <a:prstGeom prst="rect">
                        <a:avLst/>
                      </a:prstGeom>
                      <a:noFill/>
                      <a:ln w="6350">
                        <a:noFill/>
                      </a:ln>
                    </wps:spPr>
                    <wps:txbx>
                      <w:txbxContent>
                        <w:p>
                          <w:pPr>
                            <w:pStyle w:val="29"/>
                            <w:jc w:val="center"/>
                          </w:pPr>
                          <w:r>
                            <w:t xml:space="preserve">                                      </w:t>
                          </w:r>
                          <w:r>
                            <w:fldChar w:fldCharType="begin"/>
                          </w:r>
                          <w:r>
                            <w:instrText xml:space="preserve"> PAGE   \* MERGEFORMAT </w:instrText>
                          </w:r>
                          <w:r>
                            <w:fldChar w:fldCharType="separate"/>
                          </w:r>
                          <w:r>
                            <w:rPr>
                              <w:lang w:val="zh-CN"/>
                            </w:rPr>
                            <w:t>5</w:t>
                          </w:r>
                          <w:r>
                            <w:rPr>
                              <w:lang w:val="zh-CN"/>
                            </w:rPr>
                            <w:fldChar w:fldCharType="end"/>
                          </w:r>
                          <w:r>
                            <w:t xml:space="preserve">                        </w:t>
                          </w:r>
                          <w:r>
                            <w:rPr>
                              <w:rFonts w:hint="eastAsia" w:cs="宋体"/>
                            </w:rPr>
                            <w:t>山东潍科检测服务有限公司</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3" o:spid="_x0000_s1026" o:spt="202" type="#_x0000_t202" style="position:absolute;left:0pt;margin-top:0pt;height:11.65pt;width:391.55pt;mso-position-horizontal:center;mso-position-horizontal-relative:margin;mso-wrap-style:none;z-index:251676672;mso-width-relative:page;mso-height-relative:page;" filled="f" stroked="f" coordsize="21600,21600" o:gfxdata="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n8QaK0wAAAAQBAAAPAAAAAAAAAAEAIAAAACIAAABkcnMvZG93bnJl&#10;di54bWxQSwECFAAUAAAACACHTuJADjfMGjsCAABdBAAADgAAAAAAAAABACAAAAAiAQAAZHJzL2Uy&#10;b0RvYy54bWxQSwUGAAAAAAYABgBZAQAAzwUAAAAA&#10;">
              <v:fill on="f" focussize="0,0"/>
              <v:stroke on="f" weight="0.5pt"/>
              <v:imagedata o:title=""/>
              <o:lock v:ext="edit" aspectratio="f"/>
              <v:textbox inset="0mm,0mm,0mm,0mm" style="mso-fit-shape-to-text:t;">
                <w:txbxContent>
                  <w:p>
                    <w:pPr>
                      <w:pStyle w:val="29"/>
                      <w:jc w:val="center"/>
                    </w:pPr>
                    <w:r>
                      <w:t xml:space="preserve">                                      </w:t>
                    </w:r>
                    <w:r>
                      <w:fldChar w:fldCharType="begin"/>
                    </w:r>
                    <w:r>
                      <w:instrText xml:space="preserve"> PAGE   \* MERGEFORMAT </w:instrText>
                    </w:r>
                    <w:r>
                      <w:fldChar w:fldCharType="separate"/>
                    </w:r>
                    <w:r>
                      <w:rPr>
                        <w:lang w:val="zh-CN"/>
                      </w:rPr>
                      <w:t>5</w:t>
                    </w:r>
                    <w:r>
                      <w:rPr>
                        <w:lang w:val="zh-CN"/>
                      </w:rPr>
                      <w:fldChar w:fldCharType="end"/>
                    </w:r>
                    <w:r>
                      <w:t xml:space="preserve">                        </w:t>
                    </w:r>
                    <w:r>
                      <w:rPr>
                        <w:rFonts w:hint="eastAsia" w:cs="宋体"/>
                      </w:rPr>
                      <w:t>山东潍科检测服务有限公司</w:t>
                    </w:r>
                  </w:p>
                </w:txbxContent>
              </v:textbox>
            </v:shape>
          </w:pict>
        </mc:Fallback>
      </mc:AlternateContent>
    </w:r>
  </w:p>
  <w:p>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Fonts w:hint="default" w:eastAsia="宋体"/>
        <w:lang w:val="en-US" w:eastAsia="zh-CN"/>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- 8 -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IA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lB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kgBjICAABj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- 8 -</w:t>
                    </w:r>
                    <w:r>
                      <w:fldChar w:fldCharType="end"/>
                    </w:r>
                  </w:p>
                </w:txbxContent>
              </v:textbox>
            </v:shape>
          </w:pict>
        </mc:Fallback>
      </mc:AlternateContent>
    </w:r>
    <w:r>
      <w:rPr>
        <w:rFonts w:hint="eastAsia"/>
      </w:rPr>
      <w:t xml:space="preserve">          </w:t>
    </w:r>
    <w:r>
      <w:rPr>
        <w:rFonts w:hint="eastAsia"/>
        <w:lang w:val="en-US" w:eastAsia="zh-CN"/>
      </w:rPr>
      <w:t xml:space="preserve">                                                         </w:t>
    </w:r>
    <w:r>
      <w:rPr>
        <w:rFonts w:hint="eastAsia" w:cs="宋体"/>
      </w:rPr>
      <w:t>山东潍科检测服务有限公司</w:t>
    </w:r>
  </w:p>
  <w:p>
    <w:pPr>
      <w:pStyle w:val="29"/>
    </w:pP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Fonts w:hint="default" w:eastAsia="宋体"/>
        <w:lang w:val="en-US" w:eastAsia="zh-CN"/>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0" name="文本框 1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U5IgxAgAAZQ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6VOSIMQIAAGUEAAAOAAAAAAAAAAEAIAAAAB8BAABkcnMvZTJvRG9jLnhtbFBLBQYA&#10;AAAABgAGAFkBAADC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- 2 -</w:t>
                    </w:r>
                    <w:r>
                      <w:fldChar w:fldCharType="end"/>
                    </w:r>
                  </w:p>
                </w:txbxContent>
              </v:textbox>
            </v:shape>
          </w:pict>
        </mc:Fallback>
      </mc:AlternateContent>
    </w:r>
    <w:r>
      <w:rPr>
        <w:rFonts w:hint="eastAsia"/>
      </w:rPr>
      <w:t xml:space="preserve">          </w:t>
    </w:r>
    <w:r>
      <w:rPr>
        <w:rFonts w:hint="eastAsia"/>
        <w:lang w:val="en-US" w:eastAsia="zh-CN"/>
      </w:rPr>
      <w:t xml:space="preserve">                                                                                                                  </w:t>
    </w:r>
    <w:r>
      <w:rPr>
        <w:rFonts w:hint="eastAsia" w:cs="宋体"/>
      </w:rPr>
      <w:t>山东潍科检测服务有限公司</w:t>
    </w:r>
  </w:p>
  <w:p>
    <w:pPr>
      <w:pStyle w:val="29"/>
    </w:pPr>
    <w:r>
      <w:rPr>
        <w:rFonts w:hint="eastAsia"/>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Fonts w:hint="default" w:eastAsia="宋体"/>
        <w:lang w:val="en-US" w:eastAsia="zh-CN"/>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1" name="文本框 1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oehQzAgAAZQ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HoehQzAgAAZQQAAA4AAAAAAAAAAQAgAAAAHwEAAGRycy9lMm9Eb2MueG1sUEsF&#10;BgAAAAAGAAYAWQEAAMQ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- 3 -</w:t>
                    </w:r>
                    <w:r>
                      <w:fldChar w:fldCharType="end"/>
                    </w:r>
                  </w:p>
                </w:txbxContent>
              </v:textbox>
            </v:shape>
          </w:pict>
        </mc:Fallback>
      </mc:AlternateContent>
    </w:r>
    <w:r>
      <w:rPr>
        <w:rFonts w:hint="eastAsia"/>
      </w:rPr>
      <w:t xml:space="preserve">          </w:t>
    </w:r>
    <w:r>
      <w:rPr>
        <w:rFonts w:hint="eastAsia"/>
        <w:lang w:val="en-US" w:eastAsia="zh-CN"/>
      </w:rPr>
      <w:t xml:space="preserve">                                                                                                                     </w:t>
    </w:r>
    <w:r>
      <w:rPr>
        <w:rFonts w:hint="eastAsia" w:cs="宋体"/>
      </w:rPr>
      <w:t>山东潍科检测服务有限公司</w:t>
    </w:r>
  </w:p>
  <w:p>
    <w:pPr>
      <w:pStyle w:val="29"/>
    </w:pPr>
    <w:r>
      <w:rPr>
        <w:rFonts w:hint="eastAsia"/>
      </w:rPr>
      <w:t xml:space="preserve"> </w:t>
    </w:r>
    <w: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hint="default"/>
        <w:lang w:val="en-US"/>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2" name="文本框 1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- 4 -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0qqGo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0qqGozAgAAZQQAAA4AAAAAAAAAAQAgAAAAHwEAAGRycy9lMm9Eb2MueG1sUEsF&#10;BgAAAAAGAAYAWQEAAMQ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- 4 -</w:t>
                    </w:r>
                    <w:r>
                      <w:fldChar w:fldCharType="end"/>
                    </w:r>
                  </w:p>
                </w:txbxContent>
              </v:textbox>
            </v:shape>
          </w:pict>
        </mc:Fallback>
      </mc:AlternateContent>
    </w:r>
    <w:r>
      <w:rPr>
        <w:rFonts w:hint="eastAsia"/>
        <w:lang w:val="en-US" w:eastAsia="zh-CN"/>
      </w:rPr>
      <w:t xml:space="preserve">                                                                    </w:t>
    </w:r>
    <w:r>
      <w:rPr>
        <w:rFonts w:hint="eastAsia" w:cs="宋体"/>
      </w:rPr>
      <w:t>山东潍科检测服务有限公司</w:t>
    </w:r>
  </w:p>
  <w:p>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hint="default" w:eastAsia="宋体"/>
        <w:lang w:val="en-US" w:eastAsia="zh-CN"/>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3" name="文本框 1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- 5 -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aWNvY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Gljb2NAIAAGUEAAAOAAAAAAAAAAEAIAAAAB8BAABkcnMvZTJvRG9jLnhtbFBL&#10;BQYAAAAABgAGAFkBAADF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- 5 -</w:t>
                    </w:r>
                    <w:r>
                      <w:fldChar w:fldCharType="end"/>
                    </w:r>
                  </w:p>
                </w:txbxContent>
              </v:textbox>
            </v:shape>
          </w:pict>
        </mc:Fallback>
      </mc:AlternateContent>
    </w:r>
    <w:r>
      <w:rPr>
        <w:rFonts w:hint="eastAsia"/>
      </w:rPr>
      <w:t xml:space="preserve">                        </w:t>
    </w:r>
    <w:r>
      <w:rPr>
        <w:rFonts w:hint="eastAsia"/>
        <w:lang w:val="en-US" w:eastAsia="zh-CN"/>
      </w:rPr>
      <w:t xml:space="preserve">                                                                                               </w:t>
    </w:r>
    <w:r>
      <w:rPr>
        <w:rFonts w:hint="eastAsia" w:cs="宋体"/>
      </w:rPr>
      <w:t>山东潍科检测服务有限公司</w:t>
    </w:r>
  </w:p>
  <w:p>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center" w:pos="7039"/>
        <w:tab w:val="left" w:pos="8579"/>
      </w:tabs>
      <w:jc w:val="right"/>
      <w:rPr>
        <w:rFonts w:hint="eastAsia"/>
        <w:lang w:val="en-US" w:eastAsia="zh-CN"/>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4" name="文本框 1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- 9 -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WvDZc0AgAAZ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G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Vrw2XNAIAAGUEAAAOAAAAAAAAAAEAIAAAAB8BAABkcnMvZTJvRG9jLnhtbFBL&#10;BQYAAAAABgAGAFkBAADF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- 9 -</w:t>
                    </w:r>
                    <w:r>
                      <w:fldChar w:fldCharType="end"/>
                    </w:r>
                  </w:p>
                </w:txbxContent>
              </v:textbox>
            </v:shape>
          </w:pict>
        </mc:Fallback>
      </mc:AlternateContent>
    </w:r>
    <w:r>
      <w:rPr>
        <w:rFonts w:hint="eastAsia"/>
        <w:lang w:eastAsia="zh-CN"/>
      </w:rPr>
      <w:tab/>
    </w:r>
    <w:r>
      <w:rPr>
        <w:rFonts w:hint="eastAsia"/>
        <w:lang w:eastAsia="zh-CN"/>
      </w:rPr>
      <w:tab/>
    </w:r>
    <w:r>
      <w:rPr>
        <w:rFonts w:hint="eastAsia"/>
        <w:lang w:val="en-US" w:eastAsia="zh-CN"/>
      </w:rPr>
      <w:t xml:space="preserve">                                            </w:t>
    </w:r>
  </w:p>
  <w:p>
    <w:pPr>
      <w:pStyle w:val="29"/>
      <w:tabs>
        <w:tab w:val="center" w:pos="7039"/>
        <w:tab w:val="left" w:pos="8579"/>
      </w:tabs>
      <w:jc w:val="right"/>
    </w:pPr>
    <w:r>
      <w:rPr>
        <w:rFonts w:hint="eastAsia" w:cs="宋体"/>
      </w:rPr>
      <w:t>山东潍科检测服务有限公司</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Fonts w:hint="eastAsia"/>
        <w:lang w:val="en-US" w:eastAsia="zh-CN"/>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5" name="文本框 1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- 26 -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4TkwszAgAAZ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vN2mr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4TkwszAgAAZQQAAA4AAAAAAAAAAQAgAAAAHwEAAGRycy9lMm9Eb2MueG1sUEsF&#10;BgAAAAAGAAYAWQEAAMQ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- 26 -</w:t>
                    </w:r>
                    <w:r>
                      <w:fldChar w:fldCharType="end"/>
                    </w:r>
                  </w:p>
                </w:txbxContent>
              </v:textbox>
            </v:shape>
          </w:pict>
        </mc:Fallback>
      </mc:AlternateContent>
    </w:r>
    <w:r>
      <w:rPr>
        <w:rFonts w:hint="eastAsia"/>
        <w:lang w:val="en-US" w:eastAsia="zh-CN"/>
      </w:rPr>
      <w:t xml:space="preserve"> </w:t>
    </w:r>
  </w:p>
  <w:p>
    <w:pPr>
      <w:pStyle w:val="29"/>
      <w:ind w:firstLine="6120" w:firstLineChars="3400"/>
      <w:rPr>
        <w:rFonts w:hint="eastAsia"/>
        <w:lang w:val="en-US" w:eastAsia="zh-CN"/>
      </w:rPr>
    </w:pPr>
    <w:r>
      <w:rPr>
        <w:rFonts w:hint="eastAsia" w:cs="宋体"/>
      </w:rPr>
      <w:t>山东潍科检测服务有限公司</w:t>
    </w:r>
  </w:p>
  <w:p>
    <w:pPr>
      <w:pStyle w:val="2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6" name="文本框 1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- 29 -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RQXUzAgAAZQ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NlBLNFEp++fH9&#10;8vP35dc3Eg8hUW39HJE7i9jQvDMNwodzj8PIvCmcil9wIvBD4PNVYNEEwuOl2WQ2S+Hi8A0b4CdP&#10;163z4b0wikQjow4VbIVlp60PXegQErNps6mkbKsoNakzOn17k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LRQXUzAgAAZQQAAA4AAAAAAAAAAQAgAAAAHwEAAGRycy9lMm9Eb2MueG1sUEsF&#10;BgAAAAAGAAYAWQEAAMQ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- 29 -</w:t>
                    </w:r>
                    <w:r>
                      <w:fldChar w:fldCharType="end"/>
                    </w:r>
                  </w:p>
                </w:txbxContent>
              </v:textbox>
            </v:shape>
          </w:pict>
        </mc:Fallback>
      </mc:AlternateContent>
    </w:r>
  </w:p>
  <w:p>
    <w:pPr>
      <w:pStyle w:val="29"/>
      <w:jc w:val="right"/>
    </w:pPr>
    <w:r>
      <w:rPr>
        <w:rFonts w:hint="eastAsia" w:cs="宋体"/>
      </w:rPr>
      <w:t>山东潍科检测服务有限公司</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7" name="文本框 1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- 33 -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lt3+k0AgAAZQ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G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pbd/pNAIAAGUEAAAOAAAAAAAAAAEAIAAAAB8BAABkcnMvZTJvRG9jLnhtbFBL&#10;BQYAAAAABgAGAFkBAADF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- 33 -</w:t>
                    </w:r>
                    <w:r>
                      <w:fldChar w:fldCharType="end"/>
                    </w:r>
                  </w:p>
                </w:txbxContent>
              </v:textbox>
            </v:shape>
          </w:pict>
        </mc:Fallback>
      </mc:AlternateContent>
    </w:r>
  </w:p>
  <w:p>
    <w:pPr>
      <w:pStyle w:val="29"/>
      <w:jc w:val="right"/>
    </w:pPr>
    <w:r>
      <w:rPr>
        <w:rFonts w:hint="eastAsia" w:cs="宋体"/>
      </w:rPr>
      <w:t>山东潍科检测服务有限公司</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8" name="文本框 1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- 57 -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SiN7cz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SiN7czAgAAZQQAAA4AAAAAAAAAAQAgAAAAHwEAAGRycy9lMm9Eb2MueG1sUEsF&#10;BgAAAAAGAAYAWQEAAMQ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- 57 -</w:t>
                    </w:r>
                    <w:r>
                      <w:fldChar w:fldCharType="end"/>
                    </w:r>
                  </w:p>
                </w:txbxContent>
              </v:textbox>
            </v:shape>
          </w:pict>
        </mc:Fallback>
      </mc:AlternateContent>
    </w:r>
  </w:p>
  <w:p>
    <w:pPr>
      <w:pStyle w:val="29"/>
      <w:jc w:val="right"/>
    </w:pPr>
    <w:r>
      <w:rPr>
        <w:rFonts w:hint="eastAsia" w:cs="宋体"/>
      </w:rPr>
      <w:t>山东潍科检测服务有限公司</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9" name="文本框 1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- 59 -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8eqSs0AgAAZQ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19f5d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PHqkrNAIAAGUEAAAOAAAAAAAAAAEAIAAAAB8BAABkcnMvZTJvRG9jLnhtbFBL&#10;BQYAAAAABgAGAFkBAADF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- 59 -</w:t>
                    </w:r>
                    <w:r>
                      <w:fldChar w:fldCharType="end"/>
                    </w:r>
                  </w:p>
                </w:txbxContent>
              </v:textbox>
            </v:shape>
          </w:pict>
        </mc:Fallback>
      </mc:AlternateContent>
    </w:r>
  </w:p>
  <w:p>
    <w:pPr>
      <w:pStyle w:val="29"/>
      <w:jc w:val="right"/>
      <w:rPr>
        <w:b/>
        <w:bCs/>
      </w:rPr>
    </w:pPr>
    <w:r>
      <w:rPr>
        <w:rFonts w:hint="eastAsia" w:cs="宋体"/>
      </w:rPr>
      <w:t>山东潍科检测服务有限公司</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0" name="文本框 1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- 62 -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4kTwy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ziRPDICAABl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- 62 -</w:t>
                    </w:r>
                    <w:r>
                      <w:fldChar w:fldCharType="end"/>
                    </w:r>
                  </w:p>
                </w:txbxContent>
              </v:textbox>
            </v:shape>
          </w:pict>
        </mc:Fallback>
      </mc:AlternateContent>
    </w:r>
  </w:p>
  <w:p>
    <w:pPr>
      <w:pStyle w:val="29"/>
      <w:jc w:val="right"/>
    </w:pPr>
    <w:r>
      <w:rPr>
        <w:rFonts w:hint="eastAsia" w:cs="宋体"/>
      </w:rPr>
      <w:t>山东潍科检测服务有限公司</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1" name="文本框 1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- 65 -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IQPoDICAABl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- 65 -</w:t>
                    </w:r>
                    <w:r>
                      <w:fldChar w:fldCharType="end"/>
                    </w:r>
                  </w:p>
                </w:txbxContent>
              </v:textbox>
            </v:shape>
          </w:pict>
        </mc:Fallback>
      </mc:AlternateContent>
    </w:r>
  </w:p>
  <w:p>
    <w:pPr>
      <w:pStyle w:val="29"/>
      <w:jc w:val="right"/>
      <w:rPr>
        <w:b/>
        <w:bCs/>
      </w:rPr>
    </w:pPr>
    <w:r>
      <w:rPr>
        <w:rFonts w:hint="eastAsia" w:cs="宋体"/>
      </w:rPr>
      <w:t>山东潍科检测服务有限公司</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2" name="文本框 1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- 70 -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G3d4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mxK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hG3d4zAgAAZQQAAA4AAAAAAAAAAQAgAAAAHwEAAGRycy9lMm9Eb2MueG1sUEsF&#10;BgAAAAAGAAYAWQEAAMQ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- 70 -</w:t>
                    </w:r>
                    <w:r>
                      <w:fldChar w:fldCharType="end"/>
                    </w:r>
                  </w:p>
                </w:txbxContent>
              </v:textbox>
            </v:shape>
          </w:pict>
        </mc:Fallback>
      </mc:AlternateContent>
    </w:r>
  </w:p>
  <w:p>
    <w:pPr>
      <w:pStyle w:val="29"/>
      <w:jc w:val="right"/>
      <w:rPr>
        <w:b/>
        <w:bCs/>
      </w:rPr>
    </w:pPr>
    <w:r>
      <w:rPr>
        <w:rFonts w:hint="eastAsia" w:cs="宋体"/>
      </w:rPr>
      <w:t>山东潍科检测服务有限公司</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3" name="文本框 1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- 71 -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6Q0Iz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P6Q0IzAgAAZQQAAA4AAAAAAAAAAQAgAAAAHwEAAGRycy9lMm9Eb2MueG1sUEsF&#10;BgAAAAAGAAYAWQEAAMQ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- 71 -</w:t>
                    </w:r>
                    <w:r>
                      <w:fldChar w:fldCharType="end"/>
                    </w:r>
                  </w:p>
                </w:txbxContent>
              </v:textbox>
            </v:shape>
          </w:pict>
        </mc:Fallback>
      </mc:AlternateContent>
    </w:r>
  </w:p>
  <w:p>
    <w:pPr>
      <w:pStyle w:val="29"/>
      <w:jc w:val="right"/>
      <w:rPr>
        <w:b/>
        <w:bCs/>
      </w:rPr>
    </w:pPr>
    <w:r>
      <w:rPr>
        <w:rFonts w:hint="eastAsia" w:cs="宋体"/>
      </w:rPr>
      <w:t>山东潍科检测服务有限公司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sz w:val="20"/>
        <w:szCs w:val="20"/>
      </w:rPr>
    </w:pPr>
    <w:r>
      <w:rPr>
        <w:rFonts w:hint="eastAsia" w:cs="宋体"/>
        <w:sz w:val="20"/>
        <w:szCs w:val="20"/>
      </w:rPr>
      <w:t>佰润新材（寿光）有限公司年产10万吨氯化石蜡项目竣工环境保护验收监测报告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AB6D5A"/>
    <w:multiLevelType w:val="singleLevel"/>
    <w:tmpl w:val="8AAB6D5A"/>
    <w:lvl w:ilvl="0" w:tentative="0">
      <w:start w:val="1"/>
      <w:numFmt w:val="decimal"/>
      <w:suff w:val="nothing"/>
      <w:lvlText w:val="（%1）"/>
      <w:lvlJc w:val="left"/>
    </w:lvl>
  </w:abstractNum>
  <w:abstractNum w:abstractNumId="1">
    <w:nsid w:val="EEA3A420"/>
    <w:multiLevelType w:val="singleLevel"/>
    <w:tmpl w:val="EEA3A420"/>
    <w:lvl w:ilvl="0" w:tentative="0">
      <w:start w:val="1"/>
      <w:numFmt w:val="decimal"/>
      <w:suff w:val="nothing"/>
      <w:lvlText w:val="（%1）"/>
      <w:lvlJc w:val="left"/>
    </w:lvl>
  </w:abstractNum>
  <w:abstractNum w:abstractNumId="2">
    <w:nsid w:val="735B2887"/>
    <w:multiLevelType w:val="singleLevel"/>
    <w:tmpl w:val="735B2887"/>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bordersDoNotSurroundHeader w:val="1"/>
  <w:bordersDoNotSurroundFooter w:val="1"/>
  <w:hideSpellingError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YyNDg2MjEzODk5MDQwNDE5OTU5OTI5NDQzMzNmODcifQ=="/>
    <w:docVar w:name="KSO_WPS_MARK_KEY" w:val="d141f79e-5b70-4d4c-bbcd-a233f9ad323e"/>
  </w:docVars>
  <w:rsids>
    <w:rsidRoot w:val="001C3E17"/>
    <w:rsid w:val="00000D0B"/>
    <w:rsid w:val="0000120F"/>
    <w:rsid w:val="00002624"/>
    <w:rsid w:val="00003CB5"/>
    <w:rsid w:val="00005660"/>
    <w:rsid w:val="00005900"/>
    <w:rsid w:val="000068B8"/>
    <w:rsid w:val="0000693A"/>
    <w:rsid w:val="000074E9"/>
    <w:rsid w:val="0001034C"/>
    <w:rsid w:val="000112D4"/>
    <w:rsid w:val="000119BD"/>
    <w:rsid w:val="00012688"/>
    <w:rsid w:val="00012F64"/>
    <w:rsid w:val="0001399A"/>
    <w:rsid w:val="000153AE"/>
    <w:rsid w:val="00015E34"/>
    <w:rsid w:val="00016127"/>
    <w:rsid w:val="00016C1C"/>
    <w:rsid w:val="00017536"/>
    <w:rsid w:val="00017CD3"/>
    <w:rsid w:val="00020554"/>
    <w:rsid w:val="00020893"/>
    <w:rsid w:val="00022B2C"/>
    <w:rsid w:val="00024126"/>
    <w:rsid w:val="00024226"/>
    <w:rsid w:val="0002588C"/>
    <w:rsid w:val="000277E8"/>
    <w:rsid w:val="00027923"/>
    <w:rsid w:val="000279C7"/>
    <w:rsid w:val="00027E0A"/>
    <w:rsid w:val="000312DA"/>
    <w:rsid w:val="00033032"/>
    <w:rsid w:val="000330B9"/>
    <w:rsid w:val="00033459"/>
    <w:rsid w:val="0003358F"/>
    <w:rsid w:val="000341AA"/>
    <w:rsid w:val="00034942"/>
    <w:rsid w:val="00034A25"/>
    <w:rsid w:val="00034B67"/>
    <w:rsid w:val="00034DB3"/>
    <w:rsid w:val="00035336"/>
    <w:rsid w:val="00035B53"/>
    <w:rsid w:val="000367CD"/>
    <w:rsid w:val="0003705D"/>
    <w:rsid w:val="000378DF"/>
    <w:rsid w:val="000378FC"/>
    <w:rsid w:val="000379BE"/>
    <w:rsid w:val="00040094"/>
    <w:rsid w:val="0004026B"/>
    <w:rsid w:val="000415B0"/>
    <w:rsid w:val="00042492"/>
    <w:rsid w:val="000428F1"/>
    <w:rsid w:val="000434CC"/>
    <w:rsid w:val="00043795"/>
    <w:rsid w:val="000441DA"/>
    <w:rsid w:val="00044AD4"/>
    <w:rsid w:val="00046578"/>
    <w:rsid w:val="00047114"/>
    <w:rsid w:val="00047490"/>
    <w:rsid w:val="000512B6"/>
    <w:rsid w:val="00052352"/>
    <w:rsid w:val="00052F2E"/>
    <w:rsid w:val="00052FD0"/>
    <w:rsid w:val="0005381D"/>
    <w:rsid w:val="00053BE6"/>
    <w:rsid w:val="00053D15"/>
    <w:rsid w:val="00054597"/>
    <w:rsid w:val="0005530E"/>
    <w:rsid w:val="000564F1"/>
    <w:rsid w:val="00057378"/>
    <w:rsid w:val="00057BB5"/>
    <w:rsid w:val="00057D4A"/>
    <w:rsid w:val="000601AF"/>
    <w:rsid w:val="000616A3"/>
    <w:rsid w:val="00062A7F"/>
    <w:rsid w:val="00064064"/>
    <w:rsid w:val="00064144"/>
    <w:rsid w:val="00065291"/>
    <w:rsid w:val="00065DE4"/>
    <w:rsid w:val="00066865"/>
    <w:rsid w:val="00066FD5"/>
    <w:rsid w:val="00067708"/>
    <w:rsid w:val="0006772D"/>
    <w:rsid w:val="00067942"/>
    <w:rsid w:val="00067C9C"/>
    <w:rsid w:val="00067FC4"/>
    <w:rsid w:val="00070300"/>
    <w:rsid w:val="000704D0"/>
    <w:rsid w:val="0007175D"/>
    <w:rsid w:val="00073420"/>
    <w:rsid w:val="00073DEE"/>
    <w:rsid w:val="00074A1F"/>
    <w:rsid w:val="000766C7"/>
    <w:rsid w:val="000767C4"/>
    <w:rsid w:val="000776DB"/>
    <w:rsid w:val="00077CF7"/>
    <w:rsid w:val="0008117A"/>
    <w:rsid w:val="00081DA7"/>
    <w:rsid w:val="00082A6E"/>
    <w:rsid w:val="00082E49"/>
    <w:rsid w:val="0008404E"/>
    <w:rsid w:val="000840BB"/>
    <w:rsid w:val="000852A4"/>
    <w:rsid w:val="00085859"/>
    <w:rsid w:val="00085EC8"/>
    <w:rsid w:val="000877CD"/>
    <w:rsid w:val="000878FD"/>
    <w:rsid w:val="00087C9B"/>
    <w:rsid w:val="00087CE3"/>
    <w:rsid w:val="00087E4D"/>
    <w:rsid w:val="0009024D"/>
    <w:rsid w:val="0009027A"/>
    <w:rsid w:val="00092FC8"/>
    <w:rsid w:val="00093E84"/>
    <w:rsid w:val="0009663D"/>
    <w:rsid w:val="00096F5E"/>
    <w:rsid w:val="000A0CCA"/>
    <w:rsid w:val="000A11BA"/>
    <w:rsid w:val="000A125C"/>
    <w:rsid w:val="000A2145"/>
    <w:rsid w:val="000A2348"/>
    <w:rsid w:val="000A2A7F"/>
    <w:rsid w:val="000A2CD2"/>
    <w:rsid w:val="000A31DD"/>
    <w:rsid w:val="000A3BFC"/>
    <w:rsid w:val="000A3FE8"/>
    <w:rsid w:val="000A42AF"/>
    <w:rsid w:val="000A4888"/>
    <w:rsid w:val="000A4AD7"/>
    <w:rsid w:val="000A502A"/>
    <w:rsid w:val="000A55C7"/>
    <w:rsid w:val="000A5AA6"/>
    <w:rsid w:val="000A62FE"/>
    <w:rsid w:val="000A706C"/>
    <w:rsid w:val="000A70EA"/>
    <w:rsid w:val="000A7557"/>
    <w:rsid w:val="000A757D"/>
    <w:rsid w:val="000A77A2"/>
    <w:rsid w:val="000A7C52"/>
    <w:rsid w:val="000B00C3"/>
    <w:rsid w:val="000B03C5"/>
    <w:rsid w:val="000B1101"/>
    <w:rsid w:val="000B15AD"/>
    <w:rsid w:val="000B1F5F"/>
    <w:rsid w:val="000B2CA4"/>
    <w:rsid w:val="000B2FE5"/>
    <w:rsid w:val="000B33E9"/>
    <w:rsid w:val="000B4528"/>
    <w:rsid w:val="000B456D"/>
    <w:rsid w:val="000B60D7"/>
    <w:rsid w:val="000B6F6D"/>
    <w:rsid w:val="000B7DCA"/>
    <w:rsid w:val="000C0EB5"/>
    <w:rsid w:val="000C1024"/>
    <w:rsid w:val="000C14F8"/>
    <w:rsid w:val="000C162B"/>
    <w:rsid w:val="000C17AB"/>
    <w:rsid w:val="000C1A35"/>
    <w:rsid w:val="000C2363"/>
    <w:rsid w:val="000C467D"/>
    <w:rsid w:val="000C4B68"/>
    <w:rsid w:val="000D19D5"/>
    <w:rsid w:val="000D1A8E"/>
    <w:rsid w:val="000D324A"/>
    <w:rsid w:val="000D351E"/>
    <w:rsid w:val="000D5186"/>
    <w:rsid w:val="000D5615"/>
    <w:rsid w:val="000D64F1"/>
    <w:rsid w:val="000D694B"/>
    <w:rsid w:val="000D72B3"/>
    <w:rsid w:val="000E1149"/>
    <w:rsid w:val="000E1A28"/>
    <w:rsid w:val="000E275F"/>
    <w:rsid w:val="000E2985"/>
    <w:rsid w:val="000E2BD2"/>
    <w:rsid w:val="000E4626"/>
    <w:rsid w:val="000E55A5"/>
    <w:rsid w:val="000E5C80"/>
    <w:rsid w:val="000E6179"/>
    <w:rsid w:val="000E6208"/>
    <w:rsid w:val="000E6577"/>
    <w:rsid w:val="000F1D3C"/>
    <w:rsid w:val="000F32E6"/>
    <w:rsid w:val="000F38CE"/>
    <w:rsid w:val="000F3D34"/>
    <w:rsid w:val="000F3EEB"/>
    <w:rsid w:val="000F6FB3"/>
    <w:rsid w:val="000F74F6"/>
    <w:rsid w:val="000F7879"/>
    <w:rsid w:val="000F7931"/>
    <w:rsid w:val="000F79D9"/>
    <w:rsid w:val="000F7A23"/>
    <w:rsid w:val="000F7CF1"/>
    <w:rsid w:val="0010074F"/>
    <w:rsid w:val="00101035"/>
    <w:rsid w:val="00101EF9"/>
    <w:rsid w:val="00102827"/>
    <w:rsid w:val="00102892"/>
    <w:rsid w:val="0010311B"/>
    <w:rsid w:val="001047D3"/>
    <w:rsid w:val="0010483B"/>
    <w:rsid w:val="00105081"/>
    <w:rsid w:val="00105B01"/>
    <w:rsid w:val="00105EAC"/>
    <w:rsid w:val="00105FBC"/>
    <w:rsid w:val="00110D67"/>
    <w:rsid w:val="00110F38"/>
    <w:rsid w:val="00111DB6"/>
    <w:rsid w:val="001120B6"/>
    <w:rsid w:val="001125FA"/>
    <w:rsid w:val="0011296D"/>
    <w:rsid w:val="00112E7B"/>
    <w:rsid w:val="00114247"/>
    <w:rsid w:val="00114EE6"/>
    <w:rsid w:val="0011503A"/>
    <w:rsid w:val="0011509F"/>
    <w:rsid w:val="00115E56"/>
    <w:rsid w:val="00116237"/>
    <w:rsid w:val="00116DD2"/>
    <w:rsid w:val="00117199"/>
    <w:rsid w:val="001173EC"/>
    <w:rsid w:val="00117C15"/>
    <w:rsid w:val="00121D43"/>
    <w:rsid w:val="001224BC"/>
    <w:rsid w:val="001228AF"/>
    <w:rsid w:val="0012340A"/>
    <w:rsid w:val="001234B1"/>
    <w:rsid w:val="001269A2"/>
    <w:rsid w:val="001269F9"/>
    <w:rsid w:val="00127EDB"/>
    <w:rsid w:val="00127F5E"/>
    <w:rsid w:val="001332A0"/>
    <w:rsid w:val="001347DB"/>
    <w:rsid w:val="00134958"/>
    <w:rsid w:val="001352BB"/>
    <w:rsid w:val="0013593E"/>
    <w:rsid w:val="00135A3B"/>
    <w:rsid w:val="00135BCA"/>
    <w:rsid w:val="00135D79"/>
    <w:rsid w:val="00136AE0"/>
    <w:rsid w:val="001374DC"/>
    <w:rsid w:val="00137AA8"/>
    <w:rsid w:val="00140000"/>
    <w:rsid w:val="00140290"/>
    <w:rsid w:val="00140EBD"/>
    <w:rsid w:val="001419BA"/>
    <w:rsid w:val="0014433A"/>
    <w:rsid w:val="0014442B"/>
    <w:rsid w:val="001446F3"/>
    <w:rsid w:val="0014470A"/>
    <w:rsid w:val="00145798"/>
    <w:rsid w:val="00145B10"/>
    <w:rsid w:val="001465B8"/>
    <w:rsid w:val="001476E1"/>
    <w:rsid w:val="00147829"/>
    <w:rsid w:val="00147A51"/>
    <w:rsid w:val="001505FB"/>
    <w:rsid w:val="00150D23"/>
    <w:rsid w:val="00151757"/>
    <w:rsid w:val="00151899"/>
    <w:rsid w:val="0015377F"/>
    <w:rsid w:val="00154011"/>
    <w:rsid w:val="00154F4E"/>
    <w:rsid w:val="00156393"/>
    <w:rsid w:val="00156EC4"/>
    <w:rsid w:val="00156EF7"/>
    <w:rsid w:val="0015701A"/>
    <w:rsid w:val="0015730F"/>
    <w:rsid w:val="001604F7"/>
    <w:rsid w:val="00162A80"/>
    <w:rsid w:val="00162EC1"/>
    <w:rsid w:val="001632EE"/>
    <w:rsid w:val="00163598"/>
    <w:rsid w:val="001636FC"/>
    <w:rsid w:val="00163DAB"/>
    <w:rsid w:val="00163FBD"/>
    <w:rsid w:val="0016463F"/>
    <w:rsid w:val="00164AB1"/>
    <w:rsid w:val="001651C6"/>
    <w:rsid w:val="001659A9"/>
    <w:rsid w:val="00165B10"/>
    <w:rsid w:val="00165E56"/>
    <w:rsid w:val="001660CF"/>
    <w:rsid w:val="00166EAB"/>
    <w:rsid w:val="00166ECF"/>
    <w:rsid w:val="00167525"/>
    <w:rsid w:val="001675D6"/>
    <w:rsid w:val="00170136"/>
    <w:rsid w:val="0017016A"/>
    <w:rsid w:val="00170354"/>
    <w:rsid w:val="00170437"/>
    <w:rsid w:val="00170448"/>
    <w:rsid w:val="0017062C"/>
    <w:rsid w:val="00171B44"/>
    <w:rsid w:val="00172775"/>
    <w:rsid w:val="001736AA"/>
    <w:rsid w:val="00173B39"/>
    <w:rsid w:val="001745A1"/>
    <w:rsid w:val="00174C28"/>
    <w:rsid w:val="00177191"/>
    <w:rsid w:val="001774A2"/>
    <w:rsid w:val="00177C6C"/>
    <w:rsid w:val="00177DDE"/>
    <w:rsid w:val="00177F93"/>
    <w:rsid w:val="00180994"/>
    <w:rsid w:val="001811B2"/>
    <w:rsid w:val="0018121B"/>
    <w:rsid w:val="00181CE2"/>
    <w:rsid w:val="001825C7"/>
    <w:rsid w:val="00182695"/>
    <w:rsid w:val="0018306C"/>
    <w:rsid w:val="0018323A"/>
    <w:rsid w:val="00183A1E"/>
    <w:rsid w:val="0018411A"/>
    <w:rsid w:val="00184870"/>
    <w:rsid w:val="00184EA7"/>
    <w:rsid w:val="001851A8"/>
    <w:rsid w:val="00185535"/>
    <w:rsid w:val="00185AD4"/>
    <w:rsid w:val="0018630A"/>
    <w:rsid w:val="0018674B"/>
    <w:rsid w:val="00187009"/>
    <w:rsid w:val="0018740E"/>
    <w:rsid w:val="00187ED3"/>
    <w:rsid w:val="001901C9"/>
    <w:rsid w:val="00191144"/>
    <w:rsid w:val="001913A6"/>
    <w:rsid w:val="00192C6E"/>
    <w:rsid w:val="00194946"/>
    <w:rsid w:val="001957F7"/>
    <w:rsid w:val="001964D1"/>
    <w:rsid w:val="00196986"/>
    <w:rsid w:val="00196B4A"/>
    <w:rsid w:val="0019732C"/>
    <w:rsid w:val="00197BF1"/>
    <w:rsid w:val="001A04FE"/>
    <w:rsid w:val="001A1981"/>
    <w:rsid w:val="001A23E1"/>
    <w:rsid w:val="001A2A27"/>
    <w:rsid w:val="001A33C8"/>
    <w:rsid w:val="001A35EB"/>
    <w:rsid w:val="001A421C"/>
    <w:rsid w:val="001A463C"/>
    <w:rsid w:val="001A68F1"/>
    <w:rsid w:val="001A6F01"/>
    <w:rsid w:val="001A7D58"/>
    <w:rsid w:val="001A7E6F"/>
    <w:rsid w:val="001B02F4"/>
    <w:rsid w:val="001B0FC5"/>
    <w:rsid w:val="001B1804"/>
    <w:rsid w:val="001B1C91"/>
    <w:rsid w:val="001B26A2"/>
    <w:rsid w:val="001B3140"/>
    <w:rsid w:val="001B3B97"/>
    <w:rsid w:val="001B3E74"/>
    <w:rsid w:val="001B4D14"/>
    <w:rsid w:val="001B4EF7"/>
    <w:rsid w:val="001B5B76"/>
    <w:rsid w:val="001B631B"/>
    <w:rsid w:val="001B7038"/>
    <w:rsid w:val="001B725E"/>
    <w:rsid w:val="001C0250"/>
    <w:rsid w:val="001C161A"/>
    <w:rsid w:val="001C2645"/>
    <w:rsid w:val="001C281A"/>
    <w:rsid w:val="001C3E17"/>
    <w:rsid w:val="001C3FFD"/>
    <w:rsid w:val="001C5604"/>
    <w:rsid w:val="001C5940"/>
    <w:rsid w:val="001C5AAB"/>
    <w:rsid w:val="001C5B85"/>
    <w:rsid w:val="001C68AC"/>
    <w:rsid w:val="001D18F2"/>
    <w:rsid w:val="001D1AE5"/>
    <w:rsid w:val="001D1C40"/>
    <w:rsid w:val="001D1D5F"/>
    <w:rsid w:val="001D266E"/>
    <w:rsid w:val="001D358B"/>
    <w:rsid w:val="001D3B9D"/>
    <w:rsid w:val="001D3F0B"/>
    <w:rsid w:val="001D4AC8"/>
    <w:rsid w:val="001D5DA5"/>
    <w:rsid w:val="001D7282"/>
    <w:rsid w:val="001E0281"/>
    <w:rsid w:val="001E0A96"/>
    <w:rsid w:val="001E1751"/>
    <w:rsid w:val="001E179F"/>
    <w:rsid w:val="001E21CC"/>
    <w:rsid w:val="001E2808"/>
    <w:rsid w:val="001E3582"/>
    <w:rsid w:val="001E3FD1"/>
    <w:rsid w:val="001E43D5"/>
    <w:rsid w:val="001E44DC"/>
    <w:rsid w:val="001E67AE"/>
    <w:rsid w:val="001E6A47"/>
    <w:rsid w:val="001E6ADC"/>
    <w:rsid w:val="001E7158"/>
    <w:rsid w:val="001E76C9"/>
    <w:rsid w:val="001F005B"/>
    <w:rsid w:val="001F016A"/>
    <w:rsid w:val="001F072F"/>
    <w:rsid w:val="001F158D"/>
    <w:rsid w:val="001F1EB9"/>
    <w:rsid w:val="001F239D"/>
    <w:rsid w:val="001F3125"/>
    <w:rsid w:val="001F33B6"/>
    <w:rsid w:val="001F4822"/>
    <w:rsid w:val="001F61B9"/>
    <w:rsid w:val="001F7E9A"/>
    <w:rsid w:val="002006C4"/>
    <w:rsid w:val="00200F47"/>
    <w:rsid w:val="00201113"/>
    <w:rsid w:val="00201278"/>
    <w:rsid w:val="002018A4"/>
    <w:rsid w:val="00201CB2"/>
    <w:rsid w:val="002024A6"/>
    <w:rsid w:val="0020253A"/>
    <w:rsid w:val="00202BBC"/>
    <w:rsid w:val="00202DAF"/>
    <w:rsid w:val="002032AB"/>
    <w:rsid w:val="002038E8"/>
    <w:rsid w:val="00203AB4"/>
    <w:rsid w:val="00204333"/>
    <w:rsid w:val="0020493F"/>
    <w:rsid w:val="00204C9C"/>
    <w:rsid w:val="00205572"/>
    <w:rsid w:val="00205C42"/>
    <w:rsid w:val="00206A1D"/>
    <w:rsid w:val="0020739C"/>
    <w:rsid w:val="00207DA6"/>
    <w:rsid w:val="0021028E"/>
    <w:rsid w:val="00210D22"/>
    <w:rsid w:val="00210DDA"/>
    <w:rsid w:val="00211002"/>
    <w:rsid w:val="00211321"/>
    <w:rsid w:val="00213349"/>
    <w:rsid w:val="00213724"/>
    <w:rsid w:val="00214805"/>
    <w:rsid w:val="00217803"/>
    <w:rsid w:val="0022084A"/>
    <w:rsid w:val="00221056"/>
    <w:rsid w:val="00221A3A"/>
    <w:rsid w:val="00223B42"/>
    <w:rsid w:val="002249CE"/>
    <w:rsid w:val="0022591A"/>
    <w:rsid w:val="0022784D"/>
    <w:rsid w:val="00227BA4"/>
    <w:rsid w:val="00227D0C"/>
    <w:rsid w:val="002312CA"/>
    <w:rsid w:val="002319CE"/>
    <w:rsid w:val="00231A9E"/>
    <w:rsid w:val="0023246D"/>
    <w:rsid w:val="00233307"/>
    <w:rsid w:val="002333E0"/>
    <w:rsid w:val="00233957"/>
    <w:rsid w:val="00233B03"/>
    <w:rsid w:val="00233B4D"/>
    <w:rsid w:val="002341C2"/>
    <w:rsid w:val="0023496D"/>
    <w:rsid w:val="00235140"/>
    <w:rsid w:val="0023609F"/>
    <w:rsid w:val="002368E3"/>
    <w:rsid w:val="00236A60"/>
    <w:rsid w:val="0023746E"/>
    <w:rsid w:val="0024005C"/>
    <w:rsid w:val="002412DC"/>
    <w:rsid w:val="00242B2B"/>
    <w:rsid w:val="002431B9"/>
    <w:rsid w:val="00243A30"/>
    <w:rsid w:val="00244259"/>
    <w:rsid w:val="00244288"/>
    <w:rsid w:val="002446CE"/>
    <w:rsid w:val="002449A4"/>
    <w:rsid w:val="00244BAE"/>
    <w:rsid w:val="00244DB9"/>
    <w:rsid w:val="002452B5"/>
    <w:rsid w:val="002461CB"/>
    <w:rsid w:val="00247143"/>
    <w:rsid w:val="002501A5"/>
    <w:rsid w:val="002507C7"/>
    <w:rsid w:val="00250B0B"/>
    <w:rsid w:val="00250E77"/>
    <w:rsid w:val="00250E87"/>
    <w:rsid w:val="0025114D"/>
    <w:rsid w:val="00251B0A"/>
    <w:rsid w:val="00252AA1"/>
    <w:rsid w:val="0025330D"/>
    <w:rsid w:val="00253846"/>
    <w:rsid w:val="00253B81"/>
    <w:rsid w:val="00253D49"/>
    <w:rsid w:val="002549A3"/>
    <w:rsid w:val="002551F8"/>
    <w:rsid w:val="00256643"/>
    <w:rsid w:val="002566AB"/>
    <w:rsid w:val="002600FF"/>
    <w:rsid w:val="002605C1"/>
    <w:rsid w:val="00260A83"/>
    <w:rsid w:val="00261142"/>
    <w:rsid w:val="00262C67"/>
    <w:rsid w:val="00263A48"/>
    <w:rsid w:val="00267BD6"/>
    <w:rsid w:val="00267DA7"/>
    <w:rsid w:val="0027091B"/>
    <w:rsid w:val="00270A4D"/>
    <w:rsid w:val="00270B5A"/>
    <w:rsid w:val="00270C7B"/>
    <w:rsid w:val="0027131E"/>
    <w:rsid w:val="002716D8"/>
    <w:rsid w:val="00271C1E"/>
    <w:rsid w:val="00274B7D"/>
    <w:rsid w:val="00275120"/>
    <w:rsid w:val="00275FA2"/>
    <w:rsid w:val="00276857"/>
    <w:rsid w:val="00277D77"/>
    <w:rsid w:val="00280BC5"/>
    <w:rsid w:val="002813CA"/>
    <w:rsid w:val="00281B63"/>
    <w:rsid w:val="00281E76"/>
    <w:rsid w:val="00282B83"/>
    <w:rsid w:val="00282BCE"/>
    <w:rsid w:val="0028370A"/>
    <w:rsid w:val="00284473"/>
    <w:rsid w:val="002848F2"/>
    <w:rsid w:val="00284E4F"/>
    <w:rsid w:val="00286352"/>
    <w:rsid w:val="00286B4C"/>
    <w:rsid w:val="00286B69"/>
    <w:rsid w:val="00286BB5"/>
    <w:rsid w:val="00286D2C"/>
    <w:rsid w:val="002871AA"/>
    <w:rsid w:val="0029022F"/>
    <w:rsid w:val="002902F6"/>
    <w:rsid w:val="002910AF"/>
    <w:rsid w:val="002910D6"/>
    <w:rsid w:val="00294325"/>
    <w:rsid w:val="002944A1"/>
    <w:rsid w:val="002944BD"/>
    <w:rsid w:val="00294A1D"/>
    <w:rsid w:val="00294FAB"/>
    <w:rsid w:val="002952C2"/>
    <w:rsid w:val="0029534F"/>
    <w:rsid w:val="00295654"/>
    <w:rsid w:val="002971DC"/>
    <w:rsid w:val="00297556"/>
    <w:rsid w:val="00297C88"/>
    <w:rsid w:val="002A0F44"/>
    <w:rsid w:val="002A18BD"/>
    <w:rsid w:val="002A2272"/>
    <w:rsid w:val="002A250A"/>
    <w:rsid w:val="002A2752"/>
    <w:rsid w:val="002A28D7"/>
    <w:rsid w:val="002A3622"/>
    <w:rsid w:val="002A4441"/>
    <w:rsid w:val="002A4A96"/>
    <w:rsid w:val="002A539C"/>
    <w:rsid w:val="002A57DE"/>
    <w:rsid w:val="002A63EA"/>
    <w:rsid w:val="002A7452"/>
    <w:rsid w:val="002A7A08"/>
    <w:rsid w:val="002B02DB"/>
    <w:rsid w:val="002B1403"/>
    <w:rsid w:val="002B2157"/>
    <w:rsid w:val="002B21A2"/>
    <w:rsid w:val="002B3682"/>
    <w:rsid w:val="002B38BA"/>
    <w:rsid w:val="002B3E4D"/>
    <w:rsid w:val="002B3FD9"/>
    <w:rsid w:val="002B4906"/>
    <w:rsid w:val="002B4ECF"/>
    <w:rsid w:val="002B57E4"/>
    <w:rsid w:val="002B5C66"/>
    <w:rsid w:val="002B7F21"/>
    <w:rsid w:val="002C0782"/>
    <w:rsid w:val="002C1304"/>
    <w:rsid w:val="002C19BE"/>
    <w:rsid w:val="002C25A1"/>
    <w:rsid w:val="002C2956"/>
    <w:rsid w:val="002C309B"/>
    <w:rsid w:val="002C3924"/>
    <w:rsid w:val="002C3B1F"/>
    <w:rsid w:val="002C4067"/>
    <w:rsid w:val="002C43D8"/>
    <w:rsid w:val="002C445F"/>
    <w:rsid w:val="002C519E"/>
    <w:rsid w:val="002C5B52"/>
    <w:rsid w:val="002C5F3C"/>
    <w:rsid w:val="002C72A6"/>
    <w:rsid w:val="002C7D03"/>
    <w:rsid w:val="002D09BA"/>
    <w:rsid w:val="002D10C6"/>
    <w:rsid w:val="002D1389"/>
    <w:rsid w:val="002D1FE8"/>
    <w:rsid w:val="002D297A"/>
    <w:rsid w:val="002D2B15"/>
    <w:rsid w:val="002D2FA6"/>
    <w:rsid w:val="002D3462"/>
    <w:rsid w:val="002D430C"/>
    <w:rsid w:val="002D552E"/>
    <w:rsid w:val="002E02BE"/>
    <w:rsid w:val="002E071C"/>
    <w:rsid w:val="002E135B"/>
    <w:rsid w:val="002E1590"/>
    <w:rsid w:val="002E1E6F"/>
    <w:rsid w:val="002E1FFF"/>
    <w:rsid w:val="002E2261"/>
    <w:rsid w:val="002E2F26"/>
    <w:rsid w:val="002E3273"/>
    <w:rsid w:val="002E3693"/>
    <w:rsid w:val="002E38E4"/>
    <w:rsid w:val="002E3CB0"/>
    <w:rsid w:val="002E40A0"/>
    <w:rsid w:val="002E4162"/>
    <w:rsid w:val="002E42D9"/>
    <w:rsid w:val="002E4DE9"/>
    <w:rsid w:val="002E5DD6"/>
    <w:rsid w:val="002E6146"/>
    <w:rsid w:val="002E6889"/>
    <w:rsid w:val="002E78F6"/>
    <w:rsid w:val="002F0963"/>
    <w:rsid w:val="002F1553"/>
    <w:rsid w:val="002F156E"/>
    <w:rsid w:val="002F2A36"/>
    <w:rsid w:val="002F3CA0"/>
    <w:rsid w:val="002F41A1"/>
    <w:rsid w:val="002F5896"/>
    <w:rsid w:val="002F61F8"/>
    <w:rsid w:val="002F6881"/>
    <w:rsid w:val="002F6DB3"/>
    <w:rsid w:val="002F6E38"/>
    <w:rsid w:val="002F7510"/>
    <w:rsid w:val="002F76DC"/>
    <w:rsid w:val="00300290"/>
    <w:rsid w:val="00300DEE"/>
    <w:rsid w:val="0030199A"/>
    <w:rsid w:val="0030222B"/>
    <w:rsid w:val="00302ACA"/>
    <w:rsid w:val="00302BC7"/>
    <w:rsid w:val="00302D4C"/>
    <w:rsid w:val="00303094"/>
    <w:rsid w:val="003031AD"/>
    <w:rsid w:val="00304270"/>
    <w:rsid w:val="003054B3"/>
    <w:rsid w:val="00305A51"/>
    <w:rsid w:val="00305AD5"/>
    <w:rsid w:val="00305CDC"/>
    <w:rsid w:val="0030681C"/>
    <w:rsid w:val="00306A3B"/>
    <w:rsid w:val="00306CBB"/>
    <w:rsid w:val="00307207"/>
    <w:rsid w:val="00311994"/>
    <w:rsid w:val="00313233"/>
    <w:rsid w:val="00314413"/>
    <w:rsid w:val="003144A3"/>
    <w:rsid w:val="003158BB"/>
    <w:rsid w:val="00315BD7"/>
    <w:rsid w:val="00315EC2"/>
    <w:rsid w:val="003162CB"/>
    <w:rsid w:val="00316E3E"/>
    <w:rsid w:val="00317050"/>
    <w:rsid w:val="0031734E"/>
    <w:rsid w:val="0032016E"/>
    <w:rsid w:val="00320B98"/>
    <w:rsid w:val="00320DFE"/>
    <w:rsid w:val="00321646"/>
    <w:rsid w:val="00322211"/>
    <w:rsid w:val="003222D0"/>
    <w:rsid w:val="00322B83"/>
    <w:rsid w:val="0032386E"/>
    <w:rsid w:val="00323FBA"/>
    <w:rsid w:val="00324338"/>
    <w:rsid w:val="00326005"/>
    <w:rsid w:val="00326074"/>
    <w:rsid w:val="00326485"/>
    <w:rsid w:val="00327E0D"/>
    <w:rsid w:val="00330169"/>
    <w:rsid w:val="003304D2"/>
    <w:rsid w:val="00331EFA"/>
    <w:rsid w:val="00332464"/>
    <w:rsid w:val="00333072"/>
    <w:rsid w:val="0033537F"/>
    <w:rsid w:val="00336CD9"/>
    <w:rsid w:val="003377EE"/>
    <w:rsid w:val="00337808"/>
    <w:rsid w:val="00337CBE"/>
    <w:rsid w:val="003401C1"/>
    <w:rsid w:val="00340971"/>
    <w:rsid w:val="00341751"/>
    <w:rsid w:val="00341BA5"/>
    <w:rsid w:val="00342092"/>
    <w:rsid w:val="00342E76"/>
    <w:rsid w:val="003433CB"/>
    <w:rsid w:val="0034378A"/>
    <w:rsid w:val="00343801"/>
    <w:rsid w:val="00344676"/>
    <w:rsid w:val="0034497A"/>
    <w:rsid w:val="00346A20"/>
    <w:rsid w:val="0034726D"/>
    <w:rsid w:val="003475DB"/>
    <w:rsid w:val="00347C85"/>
    <w:rsid w:val="00350064"/>
    <w:rsid w:val="00350593"/>
    <w:rsid w:val="00350621"/>
    <w:rsid w:val="00350E9A"/>
    <w:rsid w:val="00352531"/>
    <w:rsid w:val="003528B1"/>
    <w:rsid w:val="00354165"/>
    <w:rsid w:val="00355089"/>
    <w:rsid w:val="0035566A"/>
    <w:rsid w:val="00355F86"/>
    <w:rsid w:val="00356914"/>
    <w:rsid w:val="00356BB8"/>
    <w:rsid w:val="00356FD2"/>
    <w:rsid w:val="00357697"/>
    <w:rsid w:val="00361B26"/>
    <w:rsid w:val="00361F5F"/>
    <w:rsid w:val="00362633"/>
    <w:rsid w:val="00362648"/>
    <w:rsid w:val="00362C20"/>
    <w:rsid w:val="00363C5B"/>
    <w:rsid w:val="003659EF"/>
    <w:rsid w:val="00366967"/>
    <w:rsid w:val="0036713C"/>
    <w:rsid w:val="0037066D"/>
    <w:rsid w:val="00372364"/>
    <w:rsid w:val="00372566"/>
    <w:rsid w:val="003728E7"/>
    <w:rsid w:val="0037342E"/>
    <w:rsid w:val="00374648"/>
    <w:rsid w:val="00375251"/>
    <w:rsid w:val="00375523"/>
    <w:rsid w:val="0037594D"/>
    <w:rsid w:val="00375954"/>
    <w:rsid w:val="00375CDE"/>
    <w:rsid w:val="003760FF"/>
    <w:rsid w:val="003765AD"/>
    <w:rsid w:val="003765DF"/>
    <w:rsid w:val="00376676"/>
    <w:rsid w:val="003770BC"/>
    <w:rsid w:val="003773B0"/>
    <w:rsid w:val="00377767"/>
    <w:rsid w:val="003777A8"/>
    <w:rsid w:val="003778FA"/>
    <w:rsid w:val="00380F79"/>
    <w:rsid w:val="003819DF"/>
    <w:rsid w:val="00381BC1"/>
    <w:rsid w:val="00381CDB"/>
    <w:rsid w:val="00382F5B"/>
    <w:rsid w:val="00382F6A"/>
    <w:rsid w:val="003833E8"/>
    <w:rsid w:val="00383472"/>
    <w:rsid w:val="00383613"/>
    <w:rsid w:val="0038458D"/>
    <w:rsid w:val="00385391"/>
    <w:rsid w:val="003853FC"/>
    <w:rsid w:val="00386146"/>
    <w:rsid w:val="00386184"/>
    <w:rsid w:val="00386F05"/>
    <w:rsid w:val="0039121A"/>
    <w:rsid w:val="00391635"/>
    <w:rsid w:val="00392008"/>
    <w:rsid w:val="003948EB"/>
    <w:rsid w:val="0039540A"/>
    <w:rsid w:val="003961E3"/>
    <w:rsid w:val="0039673D"/>
    <w:rsid w:val="003A14AD"/>
    <w:rsid w:val="003A1602"/>
    <w:rsid w:val="003A1D51"/>
    <w:rsid w:val="003A2DA8"/>
    <w:rsid w:val="003A30BC"/>
    <w:rsid w:val="003A316F"/>
    <w:rsid w:val="003A32FD"/>
    <w:rsid w:val="003A351E"/>
    <w:rsid w:val="003A3A43"/>
    <w:rsid w:val="003A3B60"/>
    <w:rsid w:val="003A6705"/>
    <w:rsid w:val="003A677B"/>
    <w:rsid w:val="003A6BE8"/>
    <w:rsid w:val="003A6F1B"/>
    <w:rsid w:val="003A7C1B"/>
    <w:rsid w:val="003A7C24"/>
    <w:rsid w:val="003A7CE8"/>
    <w:rsid w:val="003B0C2A"/>
    <w:rsid w:val="003B140D"/>
    <w:rsid w:val="003B1560"/>
    <w:rsid w:val="003B1876"/>
    <w:rsid w:val="003B1C33"/>
    <w:rsid w:val="003B24B4"/>
    <w:rsid w:val="003B2F3E"/>
    <w:rsid w:val="003B38B8"/>
    <w:rsid w:val="003B3D65"/>
    <w:rsid w:val="003B4088"/>
    <w:rsid w:val="003B40E5"/>
    <w:rsid w:val="003B49BF"/>
    <w:rsid w:val="003B4B95"/>
    <w:rsid w:val="003B5319"/>
    <w:rsid w:val="003B5457"/>
    <w:rsid w:val="003B5DF1"/>
    <w:rsid w:val="003B66DC"/>
    <w:rsid w:val="003B7B10"/>
    <w:rsid w:val="003B7B98"/>
    <w:rsid w:val="003B7E28"/>
    <w:rsid w:val="003B7E30"/>
    <w:rsid w:val="003C00E7"/>
    <w:rsid w:val="003C0742"/>
    <w:rsid w:val="003C0916"/>
    <w:rsid w:val="003C0BE0"/>
    <w:rsid w:val="003C1210"/>
    <w:rsid w:val="003C2D2A"/>
    <w:rsid w:val="003C3448"/>
    <w:rsid w:val="003C35EC"/>
    <w:rsid w:val="003C49AC"/>
    <w:rsid w:val="003C4BF5"/>
    <w:rsid w:val="003C5366"/>
    <w:rsid w:val="003C57BB"/>
    <w:rsid w:val="003C5962"/>
    <w:rsid w:val="003C7EF7"/>
    <w:rsid w:val="003D0462"/>
    <w:rsid w:val="003D105B"/>
    <w:rsid w:val="003D24D1"/>
    <w:rsid w:val="003D29B1"/>
    <w:rsid w:val="003D3568"/>
    <w:rsid w:val="003D3CB7"/>
    <w:rsid w:val="003D3DCD"/>
    <w:rsid w:val="003D4096"/>
    <w:rsid w:val="003D4169"/>
    <w:rsid w:val="003D46F8"/>
    <w:rsid w:val="003D47BA"/>
    <w:rsid w:val="003D483A"/>
    <w:rsid w:val="003D51D9"/>
    <w:rsid w:val="003D7C71"/>
    <w:rsid w:val="003E02AF"/>
    <w:rsid w:val="003E0745"/>
    <w:rsid w:val="003E07BB"/>
    <w:rsid w:val="003E0873"/>
    <w:rsid w:val="003E10A3"/>
    <w:rsid w:val="003E3990"/>
    <w:rsid w:val="003E3EB4"/>
    <w:rsid w:val="003E4337"/>
    <w:rsid w:val="003E46AB"/>
    <w:rsid w:val="003E5530"/>
    <w:rsid w:val="003E5968"/>
    <w:rsid w:val="003E5CB7"/>
    <w:rsid w:val="003E7290"/>
    <w:rsid w:val="003E7845"/>
    <w:rsid w:val="003E7BC7"/>
    <w:rsid w:val="003E7DD4"/>
    <w:rsid w:val="003F0645"/>
    <w:rsid w:val="003F1113"/>
    <w:rsid w:val="003F151B"/>
    <w:rsid w:val="003F2559"/>
    <w:rsid w:val="003F3B06"/>
    <w:rsid w:val="003F3C7F"/>
    <w:rsid w:val="003F3E34"/>
    <w:rsid w:val="003F4F38"/>
    <w:rsid w:val="003F5736"/>
    <w:rsid w:val="003F5863"/>
    <w:rsid w:val="003F71DF"/>
    <w:rsid w:val="003F7534"/>
    <w:rsid w:val="004005F2"/>
    <w:rsid w:val="00401A8D"/>
    <w:rsid w:val="00401B44"/>
    <w:rsid w:val="004024D0"/>
    <w:rsid w:val="0040295F"/>
    <w:rsid w:val="00403D49"/>
    <w:rsid w:val="0040417A"/>
    <w:rsid w:val="004042A4"/>
    <w:rsid w:val="00404D87"/>
    <w:rsid w:val="0040566A"/>
    <w:rsid w:val="00406B06"/>
    <w:rsid w:val="004075F9"/>
    <w:rsid w:val="00411735"/>
    <w:rsid w:val="0041229C"/>
    <w:rsid w:val="00413051"/>
    <w:rsid w:val="004130AA"/>
    <w:rsid w:val="0041323E"/>
    <w:rsid w:val="00413798"/>
    <w:rsid w:val="00413819"/>
    <w:rsid w:val="004139F6"/>
    <w:rsid w:val="00414003"/>
    <w:rsid w:val="0041575F"/>
    <w:rsid w:val="0041603A"/>
    <w:rsid w:val="0041639A"/>
    <w:rsid w:val="00416FB2"/>
    <w:rsid w:val="00417417"/>
    <w:rsid w:val="00417CF2"/>
    <w:rsid w:val="00417D9D"/>
    <w:rsid w:val="00417F60"/>
    <w:rsid w:val="00420935"/>
    <w:rsid w:val="004210AD"/>
    <w:rsid w:val="00421357"/>
    <w:rsid w:val="0042466C"/>
    <w:rsid w:val="00424B8C"/>
    <w:rsid w:val="00425162"/>
    <w:rsid w:val="00425546"/>
    <w:rsid w:val="004257FD"/>
    <w:rsid w:val="004268FE"/>
    <w:rsid w:val="00426B1C"/>
    <w:rsid w:val="0042799A"/>
    <w:rsid w:val="00427F3C"/>
    <w:rsid w:val="00430102"/>
    <w:rsid w:val="0043224E"/>
    <w:rsid w:val="0043265A"/>
    <w:rsid w:val="0043276E"/>
    <w:rsid w:val="0043306E"/>
    <w:rsid w:val="00433EAB"/>
    <w:rsid w:val="0043425F"/>
    <w:rsid w:val="00434951"/>
    <w:rsid w:val="00434E2D"/>
    <w:rsid w:val="0043536F"/>
    <w:rsid w:val="0043555E"/>
    <w:rsid w:val="00436EAC"/>
    <w:rsid w:val="00437563"/>
    <w:rsid w:val="004378B2"/>
    <w:rsid w:val="00437DCE"/>
    <w:rsid w:val="004400A0"/>
    <w:rsid w:val="0044023B"/>
    <w:rsid w:val="004402E7"/>
    <w:rsid w:val="00440B6F"/>
    <w:rsid w:val="00440BB5"/>
    <w:rsid w:val="00440E4C"/>
    <w:rsid w:val="0044106D"/>
    <w:rsid w:val="004414B3"/>
    <w:rsid w:val="0044240C"/>
    <w:rsid w:val="004427A3"/>
    <w:rsid w:val="00442EA2"/>
    <w:rsid w:val="0044386D"/>
    <w:rsid w:val="004440B3"/>
    <w:rsid w:val="0044562D"/>
    <w:rsid w:val="004463A9"/>
    <w:rsid w:val="00446547"/>
    <w:rsid w:val="00446A1F"/>
    <w:rsid w:val="004500F5"/>
    <w:rsid w:val="004502E2"/>
    <w:rsid w:val="00450659"/>
    <w:rsid w:val="0045085C"/>
    <w:rsid w:val="00450D6D"/>
    <w:rsid w:val="00451474"/>
    <w:rsid w:val="00452575"/>
    <w:rsid w:val="00452895"/>
    <w:rsid w:val="00452D63"/>
    <w:rsid w:val="004545EA"/>
    <w:rsid w:val="004546D6"/>
    <w:rsid w:val="00454A68"/>
    <w:rsid w:val="004550A3"/>
    <w:rsid w:val="0045530E"/>
    <w:rsid w:val="00455360"/>
    <w:rsid w:val="004554FE"/>
    <w:rsid w:val="0045577F"/>
    <w:rsid w:val="00456247"/>
    <w:rsid w:val="004572C1"/>
    <w:rsid w:val="0046034E"/>
    <w:rsid w:val="004621E6"/>
    <w:rsid w:val="004629D8"/>
    <w:rsid w:val="00463A6C"/>
    <w:rsid w:val="00463C34"/>
    <w:rsid w:val="0046434A"/>
    <w:rsid w:val="00464355"/>
    <w:rsid w:val="00465A19"/>
    <w:rsid w:val="00465AAC"/>
    <w:rsid w:val="00465D6B"/>
    <w:rsid w:val="00467410"/>
    <w:rsid w:val="004708EB"/>
    <w:rsid w:val="00470942"/>
    <w:rsid w:val="004709F4"/>
    <w:rsid w:val="00471638"/>
    <w:rsid w:val="00471EDE"/>
    <w:rsid w:val="00472131"/>
    <w:rsid w:val="00472B94"/>
    <w:rsid w:val="00473D39"/>
    <w:rsid w:val="00473D91"/>
    <w:rsid w:val="00474327"/>
    <w:rsid w:val="00474987"/>
    <w:rsid w:val="00474BB0"/>
    <w:rsid w:val="00474CC6"/>
    <w:rsid w:val="00475876"/>
    <w:rsid w:val="00475E07"/>
    <w:rsid w:val="004763AD"/>
    <w:rsid w:val="004776B0"/>
    <w:rsid w:val="004776B8"/>
    <w:rsid w:val="00482079"/>
    <w:rsid w:val="0048213E"/>
    <w:rsid w:val="00482719"/>
    <w:rsid w:val="004827BD"/>
    <w:rsid w:val="00484A6A"/>
    <w:rsid w:val="00484ABE"/>
    <w:rsid w:val="0048544F"/>
    <w:rsid w:val="00486B94"/>
    <w:rsid w:val="00486BA2"/>
    <w:rsid w:val="00486F0C"/>
    <w:rsid w:val="00487A00"/>
    <w:rsid w:val="00487CEF"/>
    <w:rsid w:val="004902B9"/>
    <w:rsid w:val="00490F19"/>
    <w:rsid w:val="00491088"/>
    <w:rsid w:val="0049133D"/>
    <w:rsid w:val="00491C8A"/>
    <w:rsid w:val="00491DDD"/>
    <w:rsid w:val="00492D61"/>
    <w:rsid w:val="00493DBB"/>
    <w:rsid w:val="00494116"/>
    <w:rsid w:val="00495140"/>
    <w:rsid w:val="004958ED"/>
    <w:rsid w:val="00495E16"/>
    <w:rsid w:val="004964F3"/>
    <w:rsid w:val="00497009"/>
    <w:rsid w:val="00497A34"/>
    <w:rsid w:val="004A09FD"/>
    <w:rsid w:val="004A0BB4"/>
    <w:rsid w:val="004A1A82"/>
    <w:rsid w:val="004A1B65"/>
    <w:rsid w:val="004A2735"/>
    <w:rsid w:val="004A276D"/>
    <w:rsid w:val="004A27CC"/>
    <w:rsid w:val="004A2CE5"/>
    <w:rsid w:val="004A3959"/>
    <w:rsid w:val="004A3D70"/>
    <w:rsid w:val="004A3F43"/>
    <w:rsid w:val="004A470E"/>
    <w:rsid w:val="004A4A79"/>
    <w:rsid w:val="004A5247"/>
    <w:rsid w:val="004A5259"/>
    <w:rsid w:val="004A6BD1"/>
    <w:rsid w:val="004A71D5"/>
    <w:rsid w:val="004A748D"/>
    <w:rsid w:val="004B066C"/>
    <w:rsid w:val="004B18EC"/>
    <w:rsid w:val="004B1E8A"/>
    <w:rsid w:val="004B207C"/>
    <w:rsid w:val="004B3647"/>
    <w:rsid w:val="004B42DD"/>
    <w:rsid w:val="004B4B94"/>
    <w:rsid w:val="004B5DDB"/>
    <w:rsid w:val="004B6D7F"/>
    <w:rsid w:val="004C0062"/>
    <w:rsid w:val="004C0EB3"/>
    <w:rsid w:val="004C13AA"/>
    <w:rsid w:val="004C1AC4"/>
    <w:rsid w:val="004C216F"/>
    <w:rsid w:val="004C2E5B"/>
    <w:rsid w:val="004C384D"/>
    <w:rsid w:val="004C40FE"/>
    <w:rsid w:val="004C46BC"/>
    <w:rsid w:val="004C4D70"/>
    <w:rsid w:val="004C5149"/>
    <w:rsid w:val="004C5AFF"/>
    <w:rsid w:val="004C5E8D"/>
    <w:rsid w:val="004D0B65"/>
    <w:rsid w:val="004D0DEE"/>
    <w:rsid w:val="004D0EB0"/>
    <w:rsid w:val="004D1989"/>
    <w:rsid w:val="004D286A"/>
    <w:rsid w:val="004D2976"/>
    <w:rsid w:val="004D2B6C"/>
    <w:rsid w:val="004D2C1A"/>
    <w:rsid w:val="004D2E72"/>
    <w:rsid w:val="004D3477"/>
    <w:rsid w:val="004D36B4"/>
    <w:rsid w:val="004D3B9F"/>
    <w:rsid w:val="004D3D0E"/>
    <w:rsid w:val="004D447F"/>
    <w:rsid w:val="004D44B7"/>
    <w:rsid w:val="004D5130"/>
    <w:rsid w:val="004D531B"/>
    <w:rsid w:val="004D5B67"/>
    <w:rsid w:val="004D77F8"/>
    <w:rsid w:val="004E010B"/>
    <w:rsid w:val="004E0248"/>
    <w:rsid w:val="004E02FE"/>
    <w:rsid w:val="004E0CFF"/>
    <w:rsid w:val="004E0E17"/>
    <w:rsid w:val="004E1A32"/>
    <w:rsid w:val="004E1F6A"/>
    <w:rsid w:val="004E40ED"/>
    <w:rsid w:val="004E4FDA"/>
    <w:rsid w:val="004E5370"/>
    <w:rsid w:val="004E6840"/>
    <w:rsid w:val="004E6A4F"/>
    <w:rsid w:val="004E6CD8"/>
    <w:rsid w:val="004E6F5E"/>
    <w:rsid w:val="004E71C2"/>
    <w:rsid w:val="004E751B"/>
    <w:rsid w:val="004F027D"/>
    <w:rsid w:val="004F0A86"/>
    <w:rsid w:val="004F1355"/>
    <w:rsid w:val="004F13DC"/>
    <w:rsid w:val="004F171C"/>
    <w:rsid w:val="004F1DCC"/>
    <w:rsid w:val="004F3FF3"/>
    <w:rsid w:val="004F44E8"/>
    <w:rsid w:val="004F5435"/>
    <w:rsid w:val="004F6117"/>
    <w:rsid w:val="004F706F"/>
    <w:rsid w:val="004F77F9"/>
    <w:rsid w:val="00500AD8"/>
    <w:rsid w:val="00500CA3"/>
    <w:rsid w:val="0050154D"/>
    <w:rsid w:val="00501C89"/>
    <w:rsid w:val="00502E88"/>
    <w:rsid w:val="00503613"/>
    <w:rsid w:val="00503EB1"/>
    <w:rsid w:val="0050437D"/>
    <w:rsid w:val="00504954"/>
    <w:rsid w:val="005057BA"/>
    <w:rsid w:val="00505DF5"/>
    <w:rsid w:val="00507B8A"/>
    <w:rsid w:val="00510423"/>
    <w:rsid w:val="00510B57"/>
    <w:rsid w:val="00510C67"/>
    <w:rsid w:val="005111A2"/>
    <w:rsid w:val="00511209"/>
    <w:rsid w:val="005118CD"/>
    <w:rsid w:val="00512762"/>
    <w:rsid w:val="0051378A"/>
    <w:rsid w:val="005138E9"/>
    <w:rsid w:val="00514FDE"/>
    <w:rsid w:val="00515198"/>
    <w:rsid w:val="00515FA9"/>
    <w:rsid w:val="00516005"/>
    <w:rsid w:val="005162E4"/>
    <w:rsid w:val="005206C3"/>
    <w:rsid w:val="005207FB"/>
    <w:rsid w:val="0052188D"/>
    <w:rsid w:val="00521E54"/>
    <w:rsid w:val="00523BCF"/>
    <w:rsid w:val="0052430D"/>
    <w:rsid w:val="00524AD6"/>
    <w:rsid w:val="0052634E"/>
    <w:rsid w:val="00526765"/>
    <w:rsid w:val="0052676A"/>
    <w:rsid w:val="00527139"/>
    <w:rsid w:val="0052723B"/>
    <w:rsid w:val="00527FDD"/>
    <w:rsid w:val="0053035E"/>
    <w:rsid w:val="005306E2"/>
    <w:rsid w:val="005307B4"/>
    <w:rsid w:val="0053094E"/>
    <w:rsid w:val="00530DF7"/>
    <w:rsid w:val="005312D3"/>
    <w:rsid w:val="0053175B"/>
    <w:rsid w:val="00531CF2"/>
    <w:rsid w:val="00532234"/>
    <w:rsid w:val="005324AA"/>
    <w:rsid w:val="00532770"/>
    <w:rsid w:val="00533106"/>
    <w:rsid w:val="005333C0"/>
    <w:rsid w:val="00533533"/>
    <w:rsid w:val="00534A37"/>
    <w:rsid w:val="00534F8F"/>
    <w:rsid w:val="00536AEA"/>
    <w:rsid w:val="0053772D"/>
    <w:rsid w:val="00537ABB"/>
    <w:rsid w:val="00537B53"/>
    <w:rsid w:val="0054071F"/>
    <w:rsid w:val="00540A43"/>
    <w:rsid w:val="00540BFA"/>
    <w:rsid w:val="00543C1B"/>
    <w:rsid w:val="00543D7A"/>
    <w:rsid w:val="0054407E"/>
    <w:rsid w:val="005441F6"/>
    <w:rsid w:val="00544842"/>
    <w:rsid w:val="0054566C"/>
    <w:rsid w:val="00545DC6"/>
    <w:rsid w:val="00545E7B"/>
    <w:rsid w:val="00546D68"/>
    <w:rsid w:val="00547110"/>
    <w:rsid w:val="00547A8B"/>
    <w:rsid w:val="00551593"/>
    <w:rsid w:val="00551BCA"/>
    <w:rsid w:val="00551F5C"/>
    <w:rsid w:val="0055231B"/>
    <w:rsid w:val="00552E5C"/>
    <w:rsid w:val="00554FAA"/>
    <w:rsid w:val="005555C6"/>
    <w:rsid w:val="00556632"/>
    <w:rsid w:val="00556B27"/>
    <w:rsid w:val="00557806"/>
    <w:rsid w:val="00557C98"/>
    <w:rsid w:val="00561427"/>
    <w:rsid w:val="00561964"/>
    <w:rsid w:val="00562F46"/>
    <w:rsid w:val="0056316D"/>
    <w:rsid w:val="00563176"/>
    <w:rsid w:val="0056387B"/>
    <w:rsid w:val="00563CCD"/>
    <w:rsid w:val="00564531"/>
    <w:rsid w:val="005649F4"/>
    <w:rsid w:val="00564CFD"/>
    <w:rsid w:val="00564F92"/>
    <w:rsid w:val="00564FA9"/>
    <w:rsid w:val="00565170"/>
    <w:rsid w:val="00565F6B"/>
    <w:rsid w:val="00566ACB"/>
    <w:rsid w:val="00566D07"/>
    <w:rsid w:val="00566EBD"/>
    <w:rsid w:val="00567DE7"/>
    <w:rsid w:val="0057021B"/>
    <w:rsid w:val="00570EBA"/>
    <w:rsid w:val="00571393"/>
    <w:rsid w:val="00572D49"/>
    <w:rsid w:val="00575010"/>
    <w:rsid w:val="00575294"/>
    <w:rsid w:val="00576098"/>
    <w:rsid w:val="0057669B"/>
    <w:rsid w:val="0058028D"/>
    <w:rsid w:val="005804B2"/>
    <w:rsid w:val="00580A03"/>
    <w:rsid w:val="005826DB"/>
    <w:rsid w:val="00582F53"/>
    <w:rsid w:val="00583968"/>
    <w:rsid w:val="00583D30"/>
    <w:rsid w:val="00585FEC"/>
    <w:rsid w:val="00586003"/>
    <w:rsid w:val="00587335"/>
    <w:rsid w:val="0058748E"/>
    <w:rsid w:val="00587DA6"/>
    <w:rsid w:val="0059084F"/>
    <w:rsid w:val="0059086D"/>
    <w:rsid w:val="005909B9"/>
    <w:rsid w:val="00590C78"/>
    <w:rsid w:val="00590EAE"/>
    <w:rsid w:val="0059138F"/>
    <w:rsid w:val="0059179B"/>
    <w:rsid w:val="00592613"/>
    <w:rsid w:val="00593487"/>
    <w:rsid w:val="005934AF"/>
    <w:rsid w:val="0059395B"/>
    <w:rsid w:val="00594A51"/>
    <w:rsid w:val="00594ABB"/>
    <w:rsid w:val="00594BBD"/>
    <w:rsid w:val="0059568B"/>
    <w:rsid w:val="005957CD"/>
    <w:rsid w:val="00595AB1"/>
    <w:rsid w:val="005968C6"/>
    <w:rsid w:val="00597D20"/>
    <w:rsid w:val="005A0539"/>
    <w:rsid w:val="005A2E9A"/>
    <w:rsid w:val="005A3974"/>
    <w:rsid w:val="005A3B0C"/>
    <w:rsid w:val="005A3EF0"/>
    <w:rsid w:val="005A478E"/>
    <w:rsid w:val="005A52CE"/>
    <w:rsid w:val="005A6025"/>
    <w:rsid w:val="005A60C9"/>
    <w:rsid w:val="005A641A"/>
    <w:rsid w:val="005A6530"/>
    <w:rsid w:val="005A66C8"/>
    <w:rsid w:val="005A6B28"/>
    <w:rsid w:val="005A72EA"/>
    <w:rsid w:val="005A77F9"/>
    <w:rsid w:val="005A7BA4"/>
    <w:rsid w:val="005B0008"/>
    <w:rsid w:val="005B162D"/>
    <w:rsid w:val="005B1DFC"/>
    <w:rsid w:val="005B33C5"/>
    <w:rsid w:val="005B387C"/>
    <w:rsid w:val="005B4368"/>
    <w:rsid w:val="005B56A6"/>
    <w:rsid w:val="005B63C9"/>
    <w:rsid w:val="005B7A70"/>
    <w:rsid w:val="005C0170"/>
    <w:rsid w:val="005C3589"/>
    <w:rsid w:val="005C4449"/>
    <w:rsid w:val="005C47F9"/>
    <w:rsid w:val="005C4A97"/>
    <w:rsid w:val="005C5186"/>
    <w:rsid w:val="005C5B3F"/>
    <w:rsid w:val="005C6115"/>
    <w:rsid w:val="005C62C8"/>
    <w:rsid w:val="005C63F7"/>
    <w:rsid w:val="005C6A41"/>
    <w:rsid w:val="005C6E77"/>
    <w:rsid w:val="005C76B7"/>
    <w:rsid w:val="005D054D"/>
    <w:rsid w:val="005D0C95"/>
    <w:rsid w:val="005D0EAC"/>
    <w:rsid w:val="005D1996"/>
    <w:rsid w:val="005D352A"/>
    <w:rsid w:val="005D3A50"/>
    <w:rsid w:val="005D437B"/>
    <w:rsid w:val="005D4416"/>
    <w:rsid w:val="005D53A1"/>
    <w:rsid w:val="005D57CB"/>
    <w:rsid w:val="005D5A1B"/>
    <w:rsid w:val="005D5BB7"/>
    <w:rsid w:val="005D5FD3"/>
    <w:rsid w:val="005D6308"/>
    <w:rsid w:val="005D6D91"/>
    <w:rsid w:val="005D7350"/>
    <w:rsid w:val="005D7C3F"/>
    <w:rsid w:val="005E095B"/>
    <w:rsid w:val="005E102F"/>
    <w:rsid w:val="005E2A5C"/>
    <w:rsid w:val="005E30BD"/>
    <w:rsid w:val="005E3D72"/>
    <w:rsid w:val="005E424C"/>
    <w:rsid w:val="005E4589"/>
    <w:rsid w:val="005E57A6"/>
    <w:rsid w:val="005E5A37"/>
    <w:rsid w:val="005E6AED"/>
    <w:rsid w:val="005F0F0F"/>
    <w:rsid w:val="005F0F59"/>
    <w:rsid w:val="005F1D7D"/>
    <w:rsid w:val="005F1F3B"/>
    <w:rsid w:val="005F3647"/>
    <w:rsid w:val="005F411E"/>
    <w:rsid w:val="005F42B1"/>
    <w:rsid w:val="005F4763"/>
    <w:rsid w:val="005F48EF"/>
    <w:rsid w:val="005F4AAA"/>
    <w:rsid w:val="005F5A03"/>
    <w:rsid w:val="005F5E51"/>
    <w:rsid w:val="005F5E6B"/>
    <w:rsid w:val="005F6B7D"/>
    <w:rsid w:val="005F6FEE"/>
    <w:rsid w:val="005F7C02"/>
    <w:rsid w:val="00600F47"/>
    <w:rsid w:val="0060119E"/>
    <w:rsid w:val="006019CA"/>
    <w:rsid w:val="0060200D"/>
    <w:rsid w:val="0060202F"/>
    <w:rsid w:val="0060215C"/>
    <w:rsid w:val="006027E0"/>
    <w:rsid w:val="00602D78"/>
    <w:rsid w:val="00602F2F"/>
    <w:rsid w:val="0060398E"/>
    <w:rsid w:val="00603A49"/>
    <w:rsid w:val="00603E4B"/>
    <w:rsid w:val="006048AD"/>
    <w:rsid w:val="00605B43"/>
    <w:rsid w:val="00606603"/>
    <w:rsid w:val="006067AE"/>
    <w:rsid w:val="006071D2"/>
    <w:rsid w:val="0060733F"/>
    <w:rsid w:val="006075BC"/>
    <w:rsid w:val="00607F9A"/>
    <w:rsid w:val="00610CF7"/>
    <w:rsid w:val="00611D4C"/>
    <w:rsid w:val="0061219D"/>
    <w:rsid w:val="00612AAD"/>
    <w:rsid w:val="006142A1"/>
    <w:rsid w:val="006148CC"/>
    <w:rsid w:val="006152B3"/>
    <w:rsid w:val="0061624E"/>
    <w:rsid w:val="00616636"/>
    <w:rsid w:val="00616751"/>
    <w:rsid w:val="00617379"/>
    <w:rsid w:val="00617EA8"/>
    <w:rsid w:val="00620B9C"/>
    <w:rsid w:val="00621410"/>
    <w:rsid w:val="00622300"/>
    <w:rsid w:val="0062381D"/>
    <w:rsid w:val="00623BA7"/>
    <w:rsid w:val="0062524F"/>
    <w:rsid w:val="006254BC"/>
    <w:rsid w:val="00625711"/>
    <w:rsid w:val="00625B0B"/>
    <w:rsid w:val="00626277"/>
    <w:rsid w:val="0062691D"/>
    <w:rsid w:val="00626EA1"/>
    <w:rsid w:val="006271BD"/>
    <w:rsid w:val="0062722D"/>
    <w:rsid w:val="0062771E"/>
    <w:rsid w:val="00627C50"/>
    <w:rsid w:val="00631135"/>
    <w:rsid w:val="00633068"/>
    <w:rsid w:val="006340A9"/>
    <w:rsid w:val="00634CF4"/>
    <w:rsid w:val="006350BC"/>
    <w:rsid w:val="00635CB2"/>
    <w:rsid w:val="006361D7"/>
    <w:rsid w:val="006361E6"/>
    <w:rsid w:val="006366C7"/>
    <w:rsid w:val="006369FA"/>
    <w:rsid w:val="0063705E"/>
    <w:rsid w:val="00637C17"/>
    <w:rsid w:val="00637CCD"/>
    <w:rsid w:val="006408BD"/>
    <w:rsid w:val="00640BAF"/>
    <w:rsid w:val="00640F14"/>
    <w:rsid w:val="00640FB2"/>
    <w:rsid w:val="00642595"/>
    <w:rsid w:val="00642982"/>
    <w:rsid w:val="00642AEB"/>
    <w:rsid w:val="00642DCC"/>
    <w:rsid w:val="0064562D"/>
    <w:rsid w:val="00646A5A"/>
    <w:rsid w:val="00646D2B"/>
    <w:rsid w:val="00647116"/>
    <w:rsid w:val="006471DF"/>
    <w:rsid w:val="00650D68"/>
    <w:rsid w:val="00650DA6"/>
    <w:rsid w:val="00650DD3"/>
    <w:rsid w:val="00651F5E"/>
    <w:rsid w:val="00652A9F"/>
    <w:rsid w:val="00652C38"/>
    <w:rsid w:val="00653A6C"/>
    <w:rsid w:val="00653FD4"/>
    <w:rsid w:val="006546EB"/>
    <w:rsid w:val="00655225"/>
    <w:rsid w:val="00655943"/>
    <w:rsid w:val="00655D8E"/>
    <w:rsid w:val="006564F1"/>
    <w:rsid w:val="0065763B"/>
    <w:rsid w:val="00662898"/>
    <w:rsid w:val="00662A9E"/>
    <w:rsid w:val="00662CD3"/>
    <w:rsid w:val="00663EF3"/>
    <w:rsid w:val="00664158"/>
    <w:rsid w:val="00664609"/>
    <w:rsid w:val="00664CFD"/>
    <w:rsid w:val="00666CC9"/>
    <w:rsid w:val="0066708B"/>
    <w:rsid w:val="00667DBB"/>
    <w:rsid w:val="00667F67"/>
    <w:rsid w:val="006710A2"/>
    <w:rsid w:val="00671425"/>
    <w:rsid w:val="00672A55"/>
    <w:rsid w:val="006731F4"/>
    <w:rsid w:val="00674161"/>
    <w:rsid w:val="006746F7"/>
    <w:rsid w:val="00674A39"/>
    <w:rsid w:val="0067507A"/>
    <w:rsid w:val="006751A6"/>
    <w:rsid w:val="00676E5C"/>
    <w:rsid w:val="0068013B"/>
    <w:rsid w:val="006812DB"/>
    <w:rsid w:val="00682528"/>
    <w:rsid w:val="00682BCF"/>
    <w:rsid w:val="00683422"/>
    <w:rsid w:val="00683C8B"/>
    <w:rsid w:val="006843F4"/>
    <w:rsid w:val="00684696"/>
    <w:rsid w:val="00684944"/>
    <w:rsid w:val="006851F2"/>
    <w:rsid w:val="00685C4B"/>
    <w:rsid w:val="006863A2"/>
    <w:rsid w:val="00686B6D"/>
    <w:rsid w:val="00686E51"/>
    <w:rsid w:val="00687F67"/>
    <w:rsid w:val="0069014F"/>
    <w:rsid w:val="00690326"/>
    <w:rsid w:val="00690657"/>
    <w:rsid w:val="006907B8"/>
    <w:rsid w:val="00691528"/>
    <w:rsid w:val="006917B9"/>
    <w:rsid w:val="00692BD8"/>
    <w:rsid w:val="00693233"/>
    <w:rsid w:val="006932FE"/>
    <w:rsid w:val="0069393A"/>
    <w:rsid w:val="00694631"/>
    <w:rsid w:val="00694D3F"/>
    <w:rsid w:val="00695FA8"/>
    <w:rsid w:val="00696A3E"/>
    <w:rsid w:val="00697553"/>
    <w:rsid w:val="006A1FD5"/>
    <w:rsid w:val="006A2203"/>
    <w:rsid w:val="006A2DC9"/>
    <w:rsid w:val="006A3454"/>
    <w:rsid w:val="006A402C"/>
    <w:rsid w:val="006A4078"/>
    <w:rsid w:val="006A43CF"/>
    <w:rsid w:val="006A59AC"/>
    <w:rsid w:val="006A5BC8"/>
    <w:rsid w:val="006A6053"/>
    <w:rsid w:val="006A6559"/>
    <w:rsid w:val="006A6B16"/>
    <w:rsid w:val="006A6BA5"/>
    <w:rsid w:val="006A72F7"/>
    <w:rsid w:val="006A74E2"/>
    <w:rsid w:val="006A751A"/>
    <w:rsid w:val="006A7571"/>
    <w:rsid w:val="006A78A8"/>
    <w:rsid w:val="006B0491"/>
    <w:rsid w:val="006B06D2"/>
    <w:rsid w:val="006B0781"/>
    <w:rsid w:val="006B0FE0"/>
    <w:rsid w:val="006B1F6A"/>
    <w:rsid w:val="006B22FB"/>
    <w:rsid w:val="006B27C6"/>
    <w:rsid w:val="006B49BD"/>
    <w:rsid w:val="006B51F8"/>
    <w:rsid w:val="006B522A"/>
    <w:rsid w:val="006B64FF"/>
    <w:rsid w:val="006C227C"/>
    <w:rsid w:val="006C230D"/>
    <w:rsid w:val="006C2573"/>
    <w:rsid w:val="006C2673"/>
    <w:rsid w:val="006C2A9B"/>
    <w:rsid w:val="006C300E"/>
    <w:rsid w:val="006C35D8"/>
    <w:rsid w:val="006C3725"/>
    <w:rsid w:val="006C3D6F"/>
    <w:rsid w:val="006C407D"/>
    <w:rsid w:val="006C4195"/>
    <w:rsid w:val="006C46C0"/>
    <w:rsid w:val="006C50CC"/>
    <w:rsid w:val="006C5824"/>
    <w:rsid w:val="006C58D9"/>
    <w:rsid w:val="006C6183"/>
    <w:rsid w:val="006D2341"/>
    <w:rsid w:val="006D357C"/>
    <w:rsid w:val="006D39DD"/>
    <w:rsid w:val="006D3F2F"/>
    <w:rsid w:val="006D41C6"/>
    <w:rsid w:val="006D4434"/>
    <w:rsid w:val="006D44C2"/>
    <w:rsid w:val="006D4B44"/>
    <w:rsid w:val="006D5557"/>
    <w:rsid w:val="006D578A"/>
    <w:rsid w:val="006D5BCD"/>
    <w:rsid w:val="006D6836"/>
    <w:rsid w:val="006D69C9"/>
    <w:rsid w:val="006D6FDE"/>
    <w:rsid w:val="006D7DD4"/>
    <w:rsid w:val="006E09F5"/>
    <w:rsid w:val="006E0C42"/>
    <w:rsid w:val="006E150C"/>
    <w:rsid w:val="006E1E9A"/>
    <w:rsid w:val="006E2109"/>
    <w:rsid w:val="006E237A"/>
    <w:rsid w:val="006E2830"/>
    <w:rsid w:val="006E2DED"/>
    <w:rsid w:val="006E4CE3"/>
    <w:rsid w:val="006E54C5"/>
    <w:rsid w:val="006E6165"/>
    <w:rsid w:val="006E6558"/>
    <w:rsid w:val="006E729E"/>
    <w:rsid w:val="006E72EF"/>
    <w:rsid w:val="006E766E"/>
    <w:rsid w:val="006E796D"/>
    <w:rsid w:val="006F1BBF"/>
    <w:rsid w:val="006F1FBF"/>
    <w:rsid w:val="006F2424"/>
    <w:rsid w:val="006F356B"/>
    <w:rsid w:val="006F3C91"/>
    <w:rsid w:val="006F40B8"/>
    <w:rsid w:val="006F420F"/>
    <w:rsid w:val="006F45D9"/>
    <w:rsid w:val="006F49C9"/>
    <w:rsid w:val="006F54C7"/>
    <w:rsid w:val="006F6D69"/>
    <w:rsid w:val="006F706D"/>
    <w:rsid w:val="006F73F2"/>
    <w:rsid w:val="007028B5"/>
    <w:rsid w:val="00703762"/>
    <w:rsid w:val="00704ED6"/>
    <w:rsid w:val="007070FB"/>
    <w:rsid w:val="0071002A"/>
    <w:rsid w:val="007126F4"/>
    <w:rsid w:val="00712D74"/>
    <w:rsid w:val="007133B8"/>
    <w:rsid w:val="007136E9"/>
    <w:rsid w:val="00713EEE"/>
    <w:rsid w:val="00714FFF"/>
    <w:rsid w:val="007161A8"/>
    <w:rsid w:val="007161EF"/>
    <w:rsid w:val="00716F0C"/>
    <w:rsid w:val="00716FD2"/>
    <w:rsid w:val="00717FB8"/>
    <w:rsid w:val="00720738"/>
    <w:rsid w:val="007209CE"/>
    <w:rsid w:val="007213BE"/>
    <w:rsid w:val="00722150"/>
    <w:rsid w:val="007231AC"/>
    <w:rsid w:val="0072321C"/>
    <w:rsid w:val="00724067"/>
    <w:rsid w:val="0072460F"/>
    <w:rsid w:val="00724F41"/>
    <w:rsid w:val="0072503D"/>
    <w:rsid w:val="007260D7"/>
    <w:rsid w:val="00726252"/>
    <w:rsid w:val="00726572"/>
    <w:rsid w:val="007267E9"/>
    <w:rsid w:val="00727723"/>
    <w:rsid w:val="00727AA0"/>
    <w:rsid w:val="00730092"/>
    <w:rsid w:val="00730643"/>
    <w:rsid w:val="007307E4"/>
    <w:rsid w:val="00730D73"/>
    <w:rsid w:val="00731F66"/>
    <w:rsid w:val="0073214F"/>
    <w:rsid w:val="00732C50"/>
    <w:rsid w:val="00732C9C"/>
    <w:rsid w:val="007343C0"/>
    <w:rsid w:val="00734E42"/>
    <w:rsid w:val="0073596E"/>
    <w:rsid w:val="00735F7B"/>
    <w:rsid w:val="00737485"/>
    <w:rsid w:val="0073775D"/>
    <w:rsid w:val="00737CE4"/>
    <w:rsid w:val="00737F64"/>
    <w:rsid w:val="0074048B"/>
    <w:rsid w:val="00740DD3"/>
    <w:rsid w:val="007429CC"/>
    <w:rsid w:val="007433BC"/>
    <w:rsid w:val="007434B4"/>
    <w:rsid w:val="00743705"/>
    <w:rsid w:val="007441E2"/>
    <w:rsid w:val="00744732"/>
    <w:rsid w:val="00744AA9"/>
    <w:rsid w:val="0074585E"/>
    <w:rsid w:val="00745BBF"/>
    <w:rsid w:val="00746389"/>
    <w:rsid w:val="00746DF2"/>
    <w:rsid w:val="007471D2"/>
    <w:rsid w:val="00750F97"/>
    <w:rsid w:val="00751480"/>
    <w:rsid w:val="00751505"/>
    <w:rsid w:val="007520FF"/>
    <w:rsid w:val="007525C0"/>
    <w:rsid w:val="00752B1A"/>
    <w:rsid w:val="00752CEF"/>
    <w:rsid w:val="00752FE2"/>
    <w:rsid w:val="00753C81"/>
    <w:rsid w:val="00754308"/>
    <w:rsid w:val="00755027"/>
    <w:rsid w:val="00755250"/>
    <w:rsid w:val="0075550A"/>
    <w:rsid w:val="00755725"/>
    <w:rsid w:val="007557C6"/>
    <w:rsid w:val="00755F82"/>
    <w:rsid w:val="00755FA0"/>
    <w:rsid w:val="00756636"/>
    <w:rsid w:val="0075724C"/>
    <w:rsid w:val="00757E97"/>
    <w:rsid w:val="00761DEC"/>
    <w:rsid w:val="007622BA"/>
    <w:rsid w:val="00762642"/>
    <w:rsid w:val="00762C75"/>
    <w:rsid w:val="007637E5"/>
    <w:rsid w:val="00763AF2"/>
    <w:rsid w:val="00764269"/>
    <w:rsid w:val="007646F5"/>
    <w:rsid w:val="00764BEC"/>
    <w:rsid w:val="00764C9B"/>
    <w:rsid w:val="007650F2"/>
    <w:rsid w:val="00765182"/>
    <w:rsid w:val="00765F13"/>
    <w:rsid w:val="00767306"/>
    <w:rsid w:val="00770C13"/>
    <w:rsid w:val="0077173B"/>
    <w:rsid w:val="00772011"/>
    <w:rsid w:val="0077250D"/>
    <w:rsid w:val="00773325"/>
    <w:rsid w:val="00773A25"/>
    <w:rsid w:val="00773F13"/>
    <w:rsid w:val="007750D6"/>
    <w:rsid w:val="00776585"/>
    <w:rsid w:val="00776C5D"/>
    <w:rsid w:val="007776C5"/>
    <w:rsid w:val="00777CF0"/>
    <w:rsid w:val="00780068"/>
    <w:rsid w:val="007801AE"/>
    <w:rsid w:val="00781098"/>
    <w:rsid w:val="007816BA"/>
    <w:rsid w:val="0078189B"/>
    <w:rsid w:val="00781AC2"/>
    <w:rsid w:val="00781E7B"/>
    <w:rsid w:val="007821B4"/>
    <w:rsid w:val="0078278B"/>
    <w:rsid w:val="007839A7"/>
    <w:rsid w:val="00783D6F"/>
    <w:rsid w:val="0078551C"/>
    <w:rsid w:val="00785822"/>
    <w:rsid w:val="00785C12"/>
    <w:rsid w:val="00786C38"/>
    <w:rsid w:val="00787B5F"/>
    <w:rsid w:val="007907BF"/>
    <w:rsid w:val="00790F6E"/>
    <w:rsid w:val="00791257"/>
    <w:rsid w:val="007914A7"/>
    <w:rsid w:val="007914F7"/>
    <w:rsid w:val="00791624"/>
    <w:rsid w:val="00791C47"/>
    <w:rsid w:val="007925D1"/>
    <w:rsid w:val="00792ADC"/>
    <w:rsid w:val="0079327E"/>
    <w:rsid w:val="007949C3"/>
    <w:rsid w:val="007960DB"/>
    <w:rsid w:val="007962EA"/>
    <w:rsid w:val="007975E1"/>
    <w:rsid w:val="00797710"/>
    <w:rsid w:val="00797D1C"/>
    <w:rsid w:val="007A10B6"/>
    <w:rsid w:val="007A174E"/>
    <w:rsid w:val="007A2F3D"/>
    <w:rsid w:val="007A3105"/>
    <w:rsid w:val="007A3501"/>
    <w:rsid w:val="007A36B0"/>
    <w:rsid w:val="007A39AA"/>
    <w:rsid w:val="007A3E63"/>
    <w:rsid w:val="007A42EE"/>
    <w:rsid w:val="007A46E7"/>
    <w:rsid w:val="007A5A4D"/>
    <w:rsid w:val="007A6F3A"/>
    <w:rsid w:val="007A7889"/>
    <w:rsid w:val="007B064F"/>
    <w:rsid w:val="007B17DF"/>
    <w:rsid w:val="007B1B23"/>
    <w:rsid w:val="007B416C"/>
    <w:rsid w:val="007B4879"/>
    <w:rsid w:val="007B4D60"/>
    <w:rsid w:val="007B5031"/>
    <w:rsid w:val="007B53AA"/>
    <w:rsid w:val="007B57C1"/>
    <w:rsid w:val="007B5979"/>
    <w:rsid w:val="007B6977"/>
    <w:rsid w:val="007B7224"/>
    <w:rsid w:val="007B7595"/>
    <w:rsid w:val="007C07EB"/>
    <w:rsid w:val="007C1141"/>
    <w:rsid w:val="007C1F03"/>
    <w:rsid w:val="007C2291"/>
    <w:rsid w:val="007C2440"/>
    <w:rsid w:val="007C2A97"/>
    <w:rsid w:val="007C2CD4"/>
    <w:rsid w:val="007C3082"/>
    <w:rsid w:val="007C3180"/>
    <w:rsid w:val="007C325D"/>
    <w:rsid w:val="007C38BB"/>
    <w:rsid w:val="007C3F47"/>
    <w:rsid w:val="007C536D"/>
    <w:rsid w:val="007C77C6"/>
    <w:rsid w:val="007D02D3"/>
    <w:rsid w:val="007D1731"/>
    <w:rsid w:val="007D1E1B"/>
    <w:rsid w:val="007D2533"/>
    <w:rsid w:val="007D3D30"/>
    <w:rsid w:val="007D408D"/>
    <w:rsid w:val="007D43FE"/>
    <w:rsid w:val="007D55BB"/>
    <w:rsid w:val="007D6700"/>
    <w:rsid w:val="007D6F82"/>
    <w:rsid w:val="007D74A3"/>
    <w:rsid w:val="007D78FF"/>
    <w:rsid w:val="007D7B6E"/>
    <w:rsid w:val="007E0AB8"/>
    <w:rsid w:val="007E107B"/>
    <w:rsid w:val="007E10BF"/>
    <w:rsid w:val="007E180C"/>
    <w:rsid w:val="007E24EE"/>
    <w:rsid w:val="007E2667"/>
    <w:rsid w:val="007E2B14"/>
    <w:rsid w:val="007E2C1B"/>
    <w:rsid w:val="007E37FA"/>
    <w:rsid w:val="007E3CC2"/>
    <w:rsid w:val="007E48E7"/>
    <w:rsid w:val="007E5F93"/>
    <w:rsid w:val="007E6B29"/>
    <w:rsid w:val="007E741B"/>
    <w:rsid w:val="007F02B4"/>
    <w:rsid w:val="007F1173"/>
    <w:rsid w:val="007F167F"/>
    <w:rsid w:val="007F1B25"/>
    <w:rsid w:val="007F1BDA"/>
    <w:rsid w:val="007F242B"/>
    <w:rsid w:val="007F24A1"/>
    <w:rsid w:val="007F24B1"/>
    <w:rsid w:val="007F2A62"/>
    <w:rsid w:val="007F2D7E"/>
    <w:rsid w:val="007F33C8"/>
    <w:rsid w:val="007F3AAB"/>
    <w:rsid w:val="007F44E4"/>
    <w:rsid w:val="007F5132"/>
    <w:rsid w:val="007F540C"/>
    <w:rsid w:val="007F7669"/>
    <w:rsid w:val="007F7A62"/>
    <w:rsid w:val="007F7F72"/>
    <w:rsid w:val="00800234"/>
    <w:rsid w:val="00800B4E"/>
    <w:rsid w:val="00800E41"/>
    <w:rsid w:val="00800EF8"/>
    <w:rsid w:val="008020F6"/>
    <w:rsid w:val="00802625"/>
    <w:rsid w:val="008028BC"/>
    <w:rsid w:val="00803B68"/>
    <w:rsid w:val="008053E2"/>
    <w:rsid w:val="00805569"/>
    <w:rsid w:val="00805865"/>
    <w:rsid w:val="00805E29"/>
    <w:rsid w:val="00806938"/>
    <w:rsid w:val="00806BC6"/>
    <w:rsid w:val="0080726A"/>
    <w:rsid w:val="00807613"/>
    <w:rsid w:val="008115B7"/>
    <w:rsid w:val="008115D4"/>
    <w:rsid w:val="00812119"/>
    <w:rsid w:val="008121B9"/>
    <w:rsid w:val="008124A4"/>
    <w:rsid w:val="00813526"/>
    <w:rsid w:val="008135DD"/>
    <w:rsid w:val="00814816"/>
    <w:rsid w:val="008158EC"/>
    <w:rsid w:val="00815986"/>
    <w:rsid w:val="0081678F"/>
    <w:rsid w:val="00816934"/>
    <w:rsid w:val="00816E7F"/>
    <w:rsid w:val="008208D1"/>
    <w:rsid w:val="00820E85"/>
    <w:rsid w:val="008215AA"/>
    <w:rsid w:val="00821BD4"/>
    <w:rsid w:val="00822616"/>
    <w:rsid w:val="00823DE9"/>
    <w:rsid w:val="0082439D"/>
    <w:rsid w:val="00824A13"/>
    <w:rsid w:val="00826DE5"/>
    <w:rsid w:val="0082713F"/>
    <w:rsid w:val="008275DE"/>
    <w:rsid w:val="00831C0A"/>
    <w:rsid w:val="00832359"/>
    <w:rsid w:val="00833AF9"/>
    <w:rsid w:val="0083424C"/>
    <w:rsid w:val="008358D1"/>
    <w:rsid w:val="0083592F"/>
    <w:rsid w:val="008405A7"/>
    <w:rsid w:val="00840CC6"/>
    <w:rsid w:val="00841C11"/>
    <w:rsid w:val="0084260D"/>
    <w:rsid w:val="008426DC"/>
    <w:rsid w:val="008428BD"/>
    <w:rsid w:val="00842FB5"/>
    <w:rsid w:val="0084377E"/>
    <w:rsid w:val="00843AB1"/>
    <w:rsid w:val="00844CBD"/>
    <w:rsid w:val="008469EC"/>
    <w:rsid w:val="008474AF"/>
    <w:rsid w:val="00847F89"/>
    <w:rsid w:val="00850C69"/>
    <w:rsid w:val="008515B2"/>
    <w:rsid w:val="008515E3"/>
    <w:rsid w:val="00851A36"/>
    <w:rsid w:val="00852B67"/>
    <w:rsid w:val="00853226"/>
    <w:rsid w:val="00853487"/>
    <w:rsid w:val="00853AD4"/>
    <w:rsid w:val="00853AF2"/>
    <w:rsid w:val="00857D4E"/>
    <w:rsid w:val="0086091A"/>
    <w:rsid w:val="00860A1E"/>
    <w:rsid w:val="008615C2"/>
    <w:rsid w:val="008617BE"/>
    <w:rsid w:val="0086313C"/>
    <w:rsid w:val="008632FD"/>
    <w:rsid w:val="00863838"/>
    <w:rsid w:val="008651BA"/>
    <w:rsid w:val="008652ED"/>
    <w:rsid w:val="00865905"/>
    <w:rsid w:val="008661A9"/>
    <w:rsid w:val="0086726D"/>
    <w:rsid w:val="0086791C"/>
    <w:rsid w:val="00867999"/>
    <w:rsid w:val="00867D7A"/>
    <w:rsid w:val="00867FD4"/>
    <w:rsid w:val="008706BF"/>
    <w:rsid w:val="00871621"/>
    <w:rsid w:val="00872F48"/>
    <w:rsid w:val="008732BB"/>
    <w:rsid w:val="008747A1"/>
    <w:rsid w:val="00876D43"/>
    <w:rsid w:val="0088071D"/>
    <w:rsid w:val="0088186E"/>
    <w:rsid w:val="00881D7A"/>
    <w:rsid w:val="00882A80"/>
    <w:rsid w:val="0088363B"/>
    <w:rsid w:val="00883AD9"/>
    <w:rsid w:val="00884CB0"/>
    <w:rsid w:val="00885BCF"/>
    <w:rsid w:val="00885BFF"/>
    <w:rsid w:val="00885D5C"/>
    <w:rsid w:val="00886498"/>
    <w:rsid w:val="008868F3"/>
    <w:rsid w:val="008907A5"/>
    <w:rsid w:val="00890A22"/>
    <w:rsid w:val="00890F78"/>
    <w:rsid w:val="008911B0"/>
    <w:rsid w:val="00891B43"/>
    <w:rsid w:val="008922B9"/>
    <w:rsid w:val="00892B1B"/>
    <w:rsid w:val="008937EC"/>
    <w:rsid w:val="00894917"/>
    <w:rsid w:val="00897174"/>
    <w:rsid w:val="008A01B8"/>
    <w:rsid w:val="008A04D6"/>
    <w:rsid w:val="008A1813"/>
    <w:rsid w:val="008A19A4"/>
    <w:rsid w:val="008A2814"/>
    <w:rsid w:val="008A3019"/>
    <w:rsid w:val="008A3DD0"/>
    <w:rsid w:val="008A4AFA"/>
    <w:rsid w:val="008A4EAC"/>
    <w:rsid w:val="008A74B3"/>
    <w:rsid w:val="008A7D04"/>
    <w:rsid w:val="008B123C"/>
    <w:rsid w:val="008B1912"/>
    <w:rsid w:val="008B1D4A"/>
    <w:rsid w:val="008B28E6"/>
    <w:rsid w:val="008B2970"/>
    <w:rsid w:val="008B2C32"/>
    <w:rsid w:val="008B3245"/>
    <w:rsid w:val="008B494E"/>
    <w:rsid w:val="008B4A1D"/>
    <w:rsid w:val="008B56B8"/>
    <w:rsid w:val="008B6384"/>
    <w:rsid w:val="008B6BFC"/>
    <w:rsid w:val="008B6EE9"/>
    <w:rsid w:val="008B70C2"/>
    <w:rsid w:val="008B7B8A"/>
    <w:rsid w:val="008B7C8C"/>
    <w:rsid w:val="008B7CF7"/>
    <w:rsid w:val="008C0E43"/>
    <w:rsid w:val="008C0FE7"/>
    <w:rsid w:val="008C103F"/>
    <w:rsid w:val="008C1C93"/>
    <w:rsid w:val="008C38E0"/>
    <w:rsid w:val="008C4B1C"/>
    <w:rsid w:val="008C6C2B"/>
    <w:rsid w:val="008C70A6"/>
    <w:rsid w:val="008C76D7"/>
    <w:rsid w:val="008C78C9"/>
    <w:rsid w:val="008C7CC5"/>
    <w:rsid w:val="008D28DB"/>
    <w:rsid w:val="008D3921"/>
    <w:rsid w:val="008D48B3"/>
    <w:rsid w:val="008D5C62"/>
    <w:rsid w:val="008D6A67"/>
    <w:rsid w:val="008D7B3F"/>
    <w:rsid w:val="008D7DBD"/>
    <w:rsid w:val="008E0697"/>
    <w:rsid w:val="008E0763"/>
    <w:rsid w:val="008E1402"/>
    <w:rsid w:val="008E2C53"/>
    <w:rsid w:val="008E2C7C"/>
    <w:rsid w:val="008E3895"/>
    <w:rsid w:val="008E4487"/>
    <w:rsid w:val="008E54BD"/>
    <w:rsid w:val="008E5911"/>
    <w:rsid w:val="008E65C1"/>
    <w:rsid w:val="008E6D1E"/>
    <w:rsid w:val="008E6D7A"/>
    <w:rsid w:val="008E7124"/>
    <w:rsid w:val="008F10C2"/>
    <w:rsid w:val="008F14E9"/>
    <w:rsid w:val="008F16F9"/>
    <w:rsid w:val="008F187A"/>
    <w:rsid w:val="008F20EF"/>
    <w:rsid w:val="008F2376"/>
    <w:rsid w:val="008F39D3"/>
    <w:rsid w:val="008F4031"/>
    <w:rsid w:val="008F426D"/>
    <w:rsid w:val="008F46C7"/>
    <w:rsid w:val="008F4BAC"/>
    <w:rsid w:val="008F5B77"/>
    <w:rsid w:val="008F61D9"/>
    <w:rsid w:val="008F6443"/>
    <w:rsid w:val="008F6F81"/>
    <w:rsid w:val="00900101"/>
    <w:rsid w:val="00900D05"/>
    <w:rsid w:val="009025D3"/>
    <w:rsid w:val="00903528"/>
    <w:rsid w:val="00903660"/>
    <w:rsid w:val="0090461C"/>
    <w:rsid w:val="00904814"/>
    <w:rsid w:val="009048B7"/>
    <w:rsid w:val="00904C76"/>
    <w:rsid w:val="00905B16"/>
    <w:rsid w:val="00907E14"/>
    <w:rsid w:val="009122D7"/>
    <w:rsid w:val="009127C2"/>
    <w:rsid w:val="00912BC4"/>
    <w:rsid w:val="00912C99"/>
    <w:rsid w:val="00912E96"/>
    <w:rsid w:val="00913C4A"/>
    <w:rsid w:val="00915108"/>
    <w:rsid w:val="009159CF"/>
    <w:rsid w:val="0091658F"/>
    <w:rsid w:val="00916922"/>
    <w:rsid w:val="009170FF"/>
    <w:rsid w:val="00917F1E"/>
    <w:rsid w:val="009200E0"/>
    <w:rsid w:val="00920839"/>
    <w:rsid w:val="0092125A"/>
    <w:rsid w:val="009215D6"/>
    <w:rsid w:val="00922229"/>
    <w:rsid w:val="009224FE"/>
    <w:rsid w:val="00922524"/>
    <w:rsid w:val="009231EB"/>
    <w:rsid w:val="0092566F"/>
    <w:rsid w:val="0092627C"/>
    <w:rsid w:val="0092719F"/>
    <w:rsid w:val="00927BA5"/>
    <w:rsid w:val="00927C70"/>
    <w:rsid w:val="00930D48"/>
    <w:rsid w:val="00931417"/>
    <w:rsid w:val="00932B6A"/>
    <w:rsid w:val="00932F15"/>
    <w:rsid w:val="00933277"/>
    <w:rsid w:val="00934CF8"/>
    <w:rsid w:val="00934F4A"/>
    <w:rsid w:val="00935818"/>
    <w:rsid w:val="00935A68"/>
    <w:rsid w:val="00935F6B"/>
    <w:rsid w:val="00935FFB"/>
    <w:rsid w:val="00936A82"/>
    <w:rsid w:val="00940D16"/>
    <w:rsid w:val="00940F7C"/>
    <w:rsid w:val="009413BC"/>
    <w:rsid w:val="00941CF3"/>
    <w:rsid w:val="009421BB"/>
    <w:rsid w:val="0094220C"/>
    <w:rsid w:val="00942847"/>
    <w:rsid w:val="009445F2"/>
    <w:rsid w:val="009462B3"/>
    <w:rsid w:val="00946C73"/>
    <w:rsid w:val="0094719F"/>
    <w:rsid w:val="00947778"/>
    <w:rsid w:val="00947C6F"/>
    <w:rsid w:val="009502B8"/>
    <w:rsid w:val="009517F1"/>
    <w:rsid w:val="009521B2"/>
    <w:rsid w:val="00952A3C"/>
    <w:rsid w:val="00952A98"/>
    <w:rsid w:val="00952CB4"/>
    <w:rsid w:val="00953D4F"/>
    <w:rsid w:val="00954380"/>
    <w:rsid w:val="009544A1"/>
    <w:rsid w:val="00954A44"/>
    <w:rsid w:val="00955E65"/>
    <w:rsid w:val="009562A3"/>
    <w:rsid w:val="009565FB"/>
    <w:rsid w:val="0095700D"/>
    <w:rsid w:val="009570B3"/>
    <w:rsid w:val="00957169"/>
    <w:rsid w:val="00957C2D"/>
    <w:rsid w:val="00960245"/>
    <w:rsid w:val="00963561"/>
    <w:rsid w:val="00963912"/>
    <w:rsid w:val="00963EDF"/>
    <w:rsid w:val="00964ADE"/>
    <w:rsid w:val="00964B24"/>
    <w:rsid w:val="009654EE"/>
    <w:rsid w:val="0096553F"/>
    <w:rsid w:val="00965EF4"/>
    <w:rsid w:val="009666C9"/>
    <w:rsid w:val="00967565"/>
    <w:rsid w:val="00967A9C"/>
    <w:rsid w:val="00967DBF"/>
    <w:rsid w:val="00971C85"/>
    <w:rsid w:val="009720C1"/>
    <w:rsid w:val="00972B16"/>
    <w:rsid w:val="00973137"/>
    <w:rsid w:val="00974799"/>
    <w:rsid w:val="009755E2"/>
    <w:rsid w:val="00976006"/>
    <w:rsid w:val="00976FA5"/>
    <w:rsid w:val="00980280"/>
    <w:rsid w:val="0098176A"/>
    <w:rsid w:val="009819D4"/>
    <w:rsid w:val="00981DC3"/>
    <w:rsid w:val="00981EF7"/>
    <w:rsid w:val="00984572"/>
    <w:rsid w:val="00984F07"/>
    <w:rsid w:val="00986369"/>
    <w:rsid w:val="00986ECC"/>
    <w:rsid w:val="00987AF7"/>
    <w:rsid w:val="00987D18"/>
    <w:rsid w:val="009900E4"/>
    <w:rsid w:val="009903BC"/>
    <w:rsid w:val="009908F9"/>
    <w:rsid w:val="00990974"/>
    <w:rsid w:val="00991C51"/>
    <w:rsid w:val="00991C9B"/>
    <w:rsid w:val="00992453"/>
    <w:rsid w:val="00992454"/>
    <w:rsid w:val="0099304B"/>
    <w:rsid w:val="009933EA"/>
    <w:rsid w:val="0099364D"/>
    <w:rsid w:val="00993728"/>
    <w:rsid w:val="00993E03"/>
    <w:rsid w:val="00994F21"/>
    <w:rsid w:val="009966CF"/>
    <w:rsid w:val="00997793"/>
    <w:rsid w:val="00997D30"/>
    <w:rsid w:val="009A10DB"/>
    <w:rsid w:val="009A391A"/>
    <w:rsid w:val="009A4D1A"/>
    <w:rsid w:val="009A66AE"/>
    <w:rsid w:val="009A6B5C"/>
    <w:rsid w:val="009A76F1"/>
    <w:rsid w:val="009A7E51"/>
    <w:rsid w:val="009B07F7"/>
    <w:rsid w:val="009B0B52"/>
    <w:rsid w:val="009B1054"/>
    <w:rsid w:val="009B1255"/>
    <w:rsid w:val="009B229B"/>
    <w:rsid w:val="009B44C7"/>
    <w:rsid w:val="009B46DE"/>
    <w:rsid w:val="009B59B7"/>
    <w:rsid w:val="009B61EA"/>
    <w:rsid w:val="009B6663"/>
    <w:rsid w:val="009B69EC"/>
    <w:rsid w:val="009B7856"/>
    <w:rsid w:val="009B7FF5"/>
    <w:rsid w:val="009C01F6"/>
    <w:rsid w:val="009C08EF"/>
    <w:rsid w:val="009C2516"/>
    <w:rsid w:val="009C391A"/>
    <w:rsid w:val="009C3C79"/>
    <w:rsid w:val="009C5140"/>
    <w:rsid w:val="009C574E"/>
    <w:rsid w:val="009C59B2"/>
    <w:rsid w:val="009C677A"/>
    <w:rsid w:val="009C75F6"/>
    <w:rsid w:val="009D05EB"/>
    <w:rsid w:val="009D066C"/>
    <w:rsid w:val="009D0E63"/>
    <w:rsid w:val="009D1088"/>
    <w:rsid w:val="009D203C"/>
    <w:rsid w:val="009D2ED7"/>
    <w:rsid w:val="009D35C8"/>
    <w:rsid w:val="009D444B"/>
    <w:rsid w:val="009D4758"/>
    <w:rsid w:val="009D479B"/>
    <w:rsid w:val="009D4A29"/>
    <w:rsid w:val="009D4C48"/>
    <w:rsid w:val="009D4D6D"/>
    <w:rsid w:val="009D58E0"/>
    <w:rsid w:val="009D5D45"/>
    <w:rsid w:val="009D6EC6"/>
    <w:rsid w:val="009D6FBA"/>
    <w:rsid w:val="009E0AD8"/>
    <w:rsid w:val="009E14E8"/>
    <w:rsid w:val="009E1602"/>
    <w:rsid w:val="009E1D8A"/>
    <w:rsid w:val="009E2D3D"/>
    <w:rsid w:val="009E3731"/>
    <w:rsid w:val="009E435F"/>
    <w:rsid w:val="009E4860"/>
    <w:rsid w:val="009E4995"/>
    <w:rsid w:val="009E5ECA"/>
    <w:rsid w:val="009E6AA9"/>
    <w:rsid w:val="009E6AB9"/>
    <w:rsid w:val="009E6B28"/>
    <w:rsid w:val="009E7C6F"/>
    <w:rsid w:val="009F18A2"/>
    <w:rsid w:val="009F241A"/>
    <w:rsid w:val="009F27F0"/>
    <w:rsid w:val="009F2B47"/>
    <w:rsid w:val="009F302D"/>
    <w:rsid w:val="009F4BF0"/>
    <w:rsid w:val="009F4E39"/>
    <w:rsid w:val="009F4F78"/>
    <w:rsid w:val="009F680B"/>
    <w:rsid w:val="009F7F90"/>
    <w:rsid w:val="00A00C98"/>
    <w:rsid w:val="00A016B6"/>
    <w:rsid w:val="00A021BB"/>
    <w:rsid w:val="00A034C8"/>
    <w:rsid w:val="00A034E7"/>
    <w:rsid w:val="00A0360C"/>
    <w:rsid w:val="00A055C8"/>
    <w:rsid w:val="00A05B1B"/>
    <w:rsid w:val="00A05F21"/>
    <w:rsid w:val="00A06B92"/>
    <w:rsid w:val="00A07E56"/>
    <w:rsid w:val="00A10496"/>
    <w:rsid w:val="00A106B3"/>
    <w:rsid w:val="00A10E51"/>
    <w:rsid w:val="00A11214"/>
    <w:rsid w:val="00A12221"/>
    <w:rsid w:val="00A12455"/>
    <w:rsid w:val="00A124D3"/>
    <w:rsid w:val="00A12D01"/>
    <w:rsid w:val="00A12F98"/>
    <w:rsid w:val="00A13B05"/>
    <w:rsid w:val="00A15F1B"/>
    <w:rsid w:val="00A162C7"/>
    <w:rsid w:val="00A165A8"/>
    <w:rsid w:val="00A16ACF"/>
    <w:rsid w:val="00A17021"/>
    <w:rsid w:val="00A17599"/>
    <w:rsid w:val="00A200F4"/>
    <w:rsid w:val="00A20974"/>
    <w:rsid w:val="00A21FB1"/>
    <w:rsid w:val="00A22444"/>
    <w:rsid w:val="00A234FD"/>
    <w:rsid w:val="00A23516"/>
    <w:rsid w:val="00A2388B"/>
    <w:rsid w:val="00A23E34"/>
    <w:rsid w:val="00A23F70"/>
    <w:rsid w:val="00A26E3A"/>
    <w:rsid w:val="00A26FFE"/>
    <w:rsid w:val="00A27013"/>
    <w:rsid w:val="00A27066"/>
    <w:rsid w:val="00A30BD9"/>
    <w:rsid w:val="00A30DAA"/>
    <w:rsid w:val="00A30FE3"/>
    <w:rsid w:val="00A3267B"/>
    <w:rsid w:val="00A32CAD"/>
    <w:rsid w:val="00A3309E"/>
    <w:rsid w:val="00A33D91"/>
    <w:rsid w:val="00A34663"/>
    <w:rsid w:val="00A35559"/>
    <w:rsid w:val="00A36551"/>
    <w:rsid w:val="00A36DA9"/>
    <w:rsid w:val="00A3780E"/>
    <w:rsid w:val="00A37E46"/>
    <w:rsid w:val="00A40EC5"/>
    <w:rsid w:val="00A41189"/>
    <w:rsid w:val="00A41876"/>
    <w:rsid w:val="00A4341C"/>
    <w:rsid w:val="00A44BF5"/>
    <w:rsid w:val="00A44EAA"/>
    <w:rsid w:val="00A45504"/>
    <w:rsid w:val="00A464A4"/>
    <w:rsid w:val="00A468E0"/>
    <w:rsid w:val="00A46E7E"/>
    <w:rsid w:val="00A470D4"/>
    <w:rsid w:val="00A47BE1"/>
    <w:rsid w:val="00A50050"/>
    <w:rsid w:val="00A50C57"/>
    <w:rsid w:val="00A5113B"/>
    <w:rsid w:val="00A51520"/>
    <w:rsid w:val="00A520FC"/>
    <w:rsid w:val="00A521D0"/>
    <w:rsid w:val="00A52998"/>
    <w:rsid w:val="00A52C47"/>
    <w:rsid w:val="00A52FAB"/>
    <w:rsid w:val="00A54DB1"/>
    <w:rsid w:val="00A550D9"/>
    <w:rsid w:val="00A55A63"/>
    <w:rsid w:val="00A56A5E"/>
    <w:rsid w:val="00A56A64"/>
    <w:rsid w:val="00A57277"/>
    <w:rsid w:val="00A5767C"/>
    <w:rsid w:val="00A576A1"/>
    <w:rsid w:val="00A57867"/>
    <w:rsid w:val="00A60304"/>
    <w:rsid w:val="00A606E3"/>
    <w:rsid w:val="00A613BC"/>
    <w:rsid w:val="00A61C6E"/>
    <w:rsid w:val="00A62443"/>
    <w:rsid w:val="00A62C17"/>
    <w:rsid w:val="00A62CA0"/>
    <w:rsid w:val="00A63547"/>
    <w:rsid w:val="00A6356F"/>
    <w:rsid w:val="00A63C3A"/>
    <w:rsid w:val="00A6485F"/>
    <w:rsid w:val="00A64C05"/>
    <w:rsid w:val="00A663B4"/>
    <w:rsid w:val="00A670B6"/>
    <w:rsid w:val="00A673A5"/>
    <w:rsid w:val="00A67445"/>
    <w:rsid w:val="00A679C1"/>
    <w:rsid w:val="00A67EC8"/>
    <w:rsid w:val="00A67EE8"/>
    <w:rsid w:val="00A700FF"/>
    <w:rsid w:val="00A71790"/>
    <w:rsid w:val="00A72B85"/>
    <w:rsid w:val="00A72CE5"/>
    <w:rsid w:val="00A72D86"/>
    <w:rsid w:val="00A72F2C"/>
    <w:rsid w:val="00A73BF7"/>
    <w:rsid w:val="00A73C14"/>
    <w:rsid w:val="00A73F0A"/>
    <w:rsid w:val="00A7418F"/>
    <w:rsid w:val="00A74D12"/>
    <w:rsid w:val="00A75AC2"/>
    <w:rsid w:val="00A76A03"/>
    <w:rsid w:val="00A80044"/>
    <w:rsid w:val="00A80238"/>
    <w:rsid w:val="00A81794"/>
    <w:rsid w:val="00A81A97"/>
    <w:rsid w:val="00A81CDC"/>
    <w:rsid w:val="00A83691"/>
    <w:rsid w:val="00A836C5"/>
    <w:rsid w:val="00A845C5"/>
    <w:rsid w:val="00A848F7"/>
    <w:rsid w:val="00A84967"/>
    <w:rsid w:val="00A84ED6"/>
    <w:rsid w:val="00A85FF0"/>
    <w:rsid w:val="00A8726C"/>
    <w:rsid w:val="00A876FF"/>
    <w:rsid w:val="00A90523"/>
    <w:rsid w:val="00A90CE7"/>
    <w:rsid w:val="00A91188"/>
    <w:rsid w:val="00A92167"/>
    <w:rsid w:val="00A93236"/>
    <w:rsid w:val="00A933DF"/>
    <w:rsid w:val="00A93C13"/>
    <w:rsid w:val="00A95427"/>
    <w:rsid w:val="00A972BC"/>
    <w:rsid w:val="00A975B7"/>
    <w:rsid w:val="00AA0D41"/>
    <w:rsid w:val="00AA0D44"/>
    <w:rsid w:val="00AA23B9"/>
    <w:rsid w:val="00AA2C20"/>
    <w:rsid w:val="00AA2E58"/>
    <w:rsid w:val="00AA3706"/>
    <w:rsid w:val="00AA3EEA"/>
    <w:rsid w:val="00AA46FC"/>
    <w:rsid w:val="00AA49EA"/>
    <w:rsid w:val="00AA4C81"/>
    <w:rsid w:val="00AA5AEA"/>
    <w:rsid w:val="00AA68B6"/>
    <w:rsid w:val="00AA73E9"/>
    <w:rsid w:val="00AA7DBB"/>
    <w:rsid w:val="00AB0E18"/>
    <w:rsid w:val="00AB1D6C"/>
    <w:rsid w:val="00AB22BF"/>
    <w:rsid w:val="00AB2ABB"/>
    <w:rsid w:val="00AB38FF"/>
    <w:rsid w:val="00AB442E"/>
    <w:rsid w:val="00AB4443"/>
    <w:rsid w:val="00AB486A"/>
    <w:rsid w:val="00AB6347"/>
    <w:rsid w:val="00AB6385"/>
    <w:rsid w:val="00AB67E4"/>
    <w:rsid w:val="00AB7CFD"/>
    <w:rsid w:val="00AC1B07"/>
    <w:rsid w:val="00AC1B6C"/>
    <w:rsid w:val="00AC2D2F"/>
    <w:rsid w:val="00AC510C"/>
    <w:rsid w:val="00AC6360"/>
    <w:rsid w:val="00AC637E"/>
    <w:rsid w:val="00AC67D3"/>
    <w:rsid w:val="00AC6E8A"/>
    <w:rsid w:val="00AC6EB0"/>
    <w:rsid w:val="00AC7CF1"/>
    <w:rsid w:val="00AD07CF"/>
    <w:rsid w:val="00AD0F40"/>
    <w:rsid w:val="00AD1645"/>
    <w:rsid w:val="00AD178F"/>
    <w:rsid w:val="00AD1E20"/>
    <w:rsid w:val="00AD249E"/>
    <w:rsid w:val="00AD2C4B"/>
    <w:rsid w:val="00AD303B"/>
    <w:rsid w:val="00AD4009"/>
    <w:rsid w:val="00AD618C"/>
    <w:rsid w:val="00AD6592"/>
    <w:rsid w:val="00AD6A55"/>
    <w:rsid w:val="00AD7108"/>
    <w:rsid w:val="00AD73A0"/>
    <w:rsid w:val="00AE066A"/>
    <w:rsid w:val="00AE187D"/>
    <w:rsid w:val="00AE1F3C"/>
    <w:rsid w:val="00AE225F"/>
    <w:rsid w:val="00AE37F0"/>
    <w:rsid w:val="00AE48A3"/>
    <w:rsid w:val="00AE51A9"/>
    <w:rsid w:val="00AE62FF"/>
    <w:rsid w:val="00AE6C9F"/>
    <w:rsid w:val="00AE7251"/>
    <w:rsid w:val="00AE7584"/>
    <w:rsid w:val="00AE7FEE"/>
    <w:rsid w:val="00AF0FA1"/>
    <w:rsid w:val="00AF1486"/>
    <w:rsid w:val="00AF1495"/>
    <w:rsid w:val="00AF2142"/>
    <w:rsid w:val="00AF21AA"/>
    <w:rsid w:val="00AF27B0"/>
    <w:rsid w:val="00AF2BA4"/>
    <w:rsid w:val="00AF2D73"/>
    <w:rsid w:val="00AF2E76"/>
    <w:rsid w:val="00AF309A"/>
    <w:rsid w:val="00AF32D6"/>
    <w:rsid w:val="00AF3AAD"/>
    <w:rsid w:val="00AF3B7C"/>
    <w:rsid w:val="00AF4A0C"/>
    <w:rsid w:val="00AF4F34"/>
    <w:rsid w:val="00AF51B3"/>
    <w:rsid w:val="00AF59FD"/>
    <w:rsid w:val="00AF683A"/>
    <w:rsid w:val="00AF6A4E"/>
    <w:rsid w:val="00AF74E3"/>
    <w:rsid w:val="00B00670"/>
    <w:rsid w:val="00B010A8"/>
    <w:rsid w:val="00B017A9"/>
    <w:rsid w:val="00B01D86"/>
    <w:rsid w:val="00B0238F"/>
    <w:rsid w:val="00B043D3"/>
    <w:rsid w:val="00B07108"/>
    <w:rsid w:val="00B07D30"/>
    <w:rsid w:val="00B10EA0"/>
    <w:rsid w:val="00B11BA8"/>
    <w:rsid w:val="00B12563"/>
    <w:rsid w:val="00B1270A"/>
    <w:rsid w:val="00B1274B"/>
    <w:rsid w:val="00B1494B"/>
    <w:rsid w:val="00B15A0E"/>
    <w:rsid w:val="00B15E56"/>
    <w:rsid w:val="00B15E64"/>
    <w:rsid w:val="00B15F4B"/>
    <w:rsid w:val="00B1612D"/>
    <w:rsid w:val="00B16384"/>
    <w:rsid w:val="00B16D10"/>
    <w:rsid w:val="00B173F5"/>
    <w:rsid w:val="00B17522"/>
    <w:rsid w:val="00B17B88"/>
    <w:rsid w:val="00B17C8E"/>
    <w:rsid w:val="00B17E83"/>
    <w:rsid w:val="00B17FB2"/>
    <w:rsid w:val="00B2012A"/>
    <w:rsid w:val="00B2032A"/>
    <w:rsid w:val="00B2059C"/>
    <w:rsid w:val="00B21B36"/>
    <w:rsid w:val="00B220A2"/>
    <w:rsid w:val="00B2266E"/>
    <w:rsid w:val="00B236E0"/>
    <w:rsid w:val="00B23D24"/>
    <w:rsid w:val="00B240A6"/>
    <w:rsid w:val="00B24476"/>
    <w:rsid w:val="00B2527E"/>
    <w:rsid w:val="00B26408"/>
    <w:rsid w:val="00B26A3B"/>
    <w:rsid w:val="00B27598"/>
    <w:rsid w:val="00B27B98"/>
    <w:rsid w:val="00B30C84"/>
    <w:rsid w:val="00B3106E"/>
    <w:rsid w:val="00B31DFF"/>
    <w:rsid w:val="00B3249B"/>
    <w:rsid w:val="00B3289A"/>
    <w:rsid w:val="00B32D67"/>
    <w:rsid w:val="00B33986"/>
    <w:rsid w:val="00B3422D"/>
    <w:rsid w:val="00B34D23"/>
    <w:rsid w:val="00B34F18"/>
    <w:rsid w:val="00B34F39"/>
    <w:rsid w:val="00B35BCE"/>
    <w:rsid w:val="00B35DD5"/>
    <w:rsid w:val="00B3746B"/>
    <w:rsid w:val="00B37D7B"/>
    <w:rsid w:val="00B407C5"/>
    <w:rsid w:val="00B4092A"/>
    <w:rsid w:val="00B41FA3"/>
    <w:rsid w:val="00B43327"/>
    <w:rsid w:val="00B44B0F"/>
    <w:rsid w:val="00B45377"/>
    <w:rsid w:val="00B46844"/>
    <w:rsid w:val="00B50279"/>
    <w:rsid w:val="00B50572"/>
    <w:rsid w:val="00B50926"/>
    <w:rsid w:val="00B50D99"/>
    <w:rsid w:val="00B515FE"/>
    <w:rsid w:val="00B51735"/>
    <w:rsid w:val="00B51A29"/>
    <w:rsid w:val="00B53B40"/>
    <w:rsid w:val="00B5452F"/>
    <w:rsid w:val="00B545A2"/>
    <w:rsid w:val="00B563FB"/>
    <w:rsid w:val="00B570EB"/>
    <w:rsid w:val="00B579BB"/>
    <w:rsid w:val="00B60096"/>
    <w:rsid w:val="00B606C4"/>
    <w:rsid w:val="00B608B7"/>
    <w:rsid w:val="00B615C7"/>
    <w:rsid w:val="00B617DA"/>
    <w:rsid w:val="00B61A4E"/>
    <w:rsid w:val="00B61F82"/>
    <w:rsid w:val="00B623BC"/>
    <w:rsid w:val="00B625F1"/>
    <w:rsid w:val="00B626F1"/>
    <w:rsid w:val="00B630FA"/>
    <w:rsid w:val="00B638A5"/>
    <w:rsid w:val="00B63B64"/>
    <w:rsid w:val="00B63E32"/>
    <w:rsid w:val="00B6489A"/>
    <w:rsid w:val="00B657DC"/>
    <w:rsid w:val="00B65D99"/>
    <w:rsid w:val="00B66D82"/>
    <w:rsid w:val="00B67A34"/>
    <w:rsid w:val="00B70335"/>
    <w:rsid w:val="00B703A2"/>
    <w:rsid w:val="00B73D74"/>
    <w:rsid w:val="00B73DF2"/>
    <w:rsid w:val="00B75390"/>
    <w:rsid w:val="00B757B7"/>
    <w:rsid w:val="00B76860"/>
    <w:rsid w:val="00B76A0B"/>
    <w:rsid w:val="00B77966"/>
    <w:rsid w:val="00B80499"/>
    <w:rsid w:val="00B80A03"/>
    <w:rsid w:val="00B80C26"/>
    <w:rsid w:val="00B815E7"/>
    <w:rsid w:val="00B81B5B"/>
    <w:rsid w:val="00B81C1A"/>
    <w:rsid w:val="00B81D37"/>
    <w:rsid w:val="00B81E40"/>
    <w:rsid w:val="00B820E4"/>
    <w:rsid w:val="00B82315"/>
    <w:rsid w:val="00B82C24"/>
    <w:rsid w:val="00B83315"/>
    <w:rsid w:val="00B83354"/>
    <w:rsid w:val="00B8390A"/>
    <w:rsid w:val="00B840F1"/>
    <w:rsid w:val="00B84133"/>
    <w:rsid w:val="00B8445E"/>
    <w:rsid w:val="00B8499D"/>
    <w:rsid w:val="00B84F79"/>
    <w:rsid w:val="00B918AC"/>
    <w:rsid w:val="00B920DC"/>
    <w:rsid w:val="00B9272D"/>
    <w:rsid w:val="00B9280E"/>
    <w:rsid w:val="00B9284F"/>
    <w:rsid w:val="00B9288D"/>
    <w:rsid w:val="00B93EBE"/>
    <w:rsid w:val="00B9434C"/>
    <w:rsid w:val="00B9439D"/>
    <w:rsid w:val="00B94587"/>
    <w:rsid w:val="00B94892"/>
    <w:rsid w:val="00B95734"/>
    <w:rsid w:val="00B97904"/>
    <w:rsid w:val="00BA04B3"/>
    <w:rsid w:val="00BA10B1"/>
    <w:rsid w:val="00BA130A"/>
    <w:rsid w:val="00BA14E9"/>
    <w:rsid w:val="00BA1EBE"/>
    <w:rsid w:val="00BA305E"/>
    <w:rsid w:val="00BA3547"/>
    <w:rsid w:val="00BA36B9"/>
    <w:rsid w:val="00BA3AF4"/>
    <w:rsid w:val="00BA3BB3"/>
    <w:rsid w:val="00BA5751"/>
    <w:rsid w:val="00BA5C26"/>
    <w:rsid w:val="00BA7584"/>
    <w:rsid w:val="00BA7778"/>
    <w:rsid w:val="00BB054E"/>
    <w:rsid w:val="00BB0A1E"/>
    <w:rsid w:val="00BB11D8"/>
    <w:rsid w:val="00BB1F30"/>
    <w:rsid w:val="00BB2247"/>
    <w:rsid w:val="00BB230B"/>
    <w:rsid w:val="00BB2BA7"/>
    <w:rsid w:val="00BB4465"/>
    <w:rsid w:val="00BB44DB"/>
    <w:rsid w:val="00BB676B"/>
    <w:rsid w:val="00BB7835"/>
    <w:rsid w:val="00BB7A2C"/>
    <w:rsid w:val="00BB7DF2"/>
    <w:rsid w:val="00BC010E"/>
    <w:rsid w:val="00BC02D1"/>
    <w:rsid w:val="00BC06B8"/>
    <w:rsid w:val="00BC1607"/>
    <w:rsid w:val="00BC1A16"/>
    <w:rsid w:val="00BC1F5B"/>
    <w:rsid w:val="00BC331B"/>
    <w:rsid w:val="00BC4506"/>
    <w:rsid w:val="00BC70A7"/>
    <w:rsid w:val="00BC7533"/>
    <w:rsid w:val="00BC7ADD"/>
    <w:rsid w:val="00BD0B36"/>
    <w:rsid w:val="00BD0EDD"/>
    <w:rsid w:val="00BD13B5"/>
    <w:rsid w:val="00BD2183"/>
    <w:rsid w:val="00BD2BEB"/>
    <w:rsid w:val="00BD3AC2"/>
    <w:rsid w:val="00BD3D12"/>
    <w:rsid w:val="00BD41DD"/>
    <w:rsid w:val="00BD514A"/>
    <w:rsid w:val="00BD5639"/>
    <w:rsid w:val="00BD5804"/>
    <w:rsid w:val="00BD581E"/>
    <w:rsid w:val="00BD59BF"/>
    <w:rsid w:val="00BD5C42"/>
    <w:rsid w:val="00BD6640"/>
    <w:rsid w:val="00BD6E0E"/>
    <w:rsid w:val="00BD6E37"/>
    <w:rsid w:val="00BD70E8"/>
    <w:rsid w:val="00BE01FE"/>
    <w:rsid w:val="00BE0DA9"/>
    <w:rsid w:val="00BE1289"/>
    <w:rsid w:val="00BE1724"/>
    <w:rsid w:val="00BE1FF1"/>
    <w:rsid w:val="00BE2E82"/>
    <w:rsid w:val="00BE408A"/>
    <w:rsid w:val="00BE41E1"/>
    <w:rsid w:val="00BE588A"/>
    <w:rsid w:val="00BE5E67"/>
    <w:rsid w:val="00BE683E"/>
    <w:rsid w:val="00BF0563"/>
    <w:rsid w:val="00BF17EA"/>
    <w:rsid w:val="00BF1A50"/>
    <w:rsid w:val="00BF28A6"/>
    <w:rsid w:val="00BF2DEF"/>
    <w:rsid w:val="00BF2E4B"/>
    <w:rsid w:val="00BF31BA"/>
    <w:rsid w:val="00BF3ACF"/>
    <w:rsid w:val="00BF4087"/>
    <w:rsid w:val="00BF4865"/>
    <w:rsid w:val="00BF55C7"/>
    <w:rsid w:val="00BF640A"/>
    <w:rsid w:val="00BF6E07"/>
    <w:rsid w:val="00BF7676"/>
    <w:rsid w:val="00C012E0"/>
    <w:rsid w:val="00C0176C"/>
    <w:rsid w:val="00C01C57"/>
    <w:rsid w:val="00C02855"/>
    <w:rsid w:val="00C033E5"/>
    <w:rsid w:val="00C03D58"/>
    <w:rsid w:val="00C03FE5"/>
    <w:rsid w:val="00C056CD"/>
    <w:rsid w:val="00C05C2D"/>
    <w:rsid w:val="00C05F39"/>
    <w:rsid w:val="00C06064"/>
    <w:rsid w:val="00C061FF"/>
    <w:rsid w:val="00C06BA6"/>
    <w:rsid w:val="00C07706"/>
    <w:rsid w:val="00C079E8"/>
    <w:rsid w:val="00C07BF5"/>
    <w:rsid w:val="00C102D4"/>
    <w:rsid w:val="00C1030D"/>
    <w:rsid w:val="00C11933"/>
    <w:rsid w:val="00C121FF"/>
    <w:rsid w:val="00C138E7"/>
    <w:rsid w:val="00C13919"/>
    <w:rsid w:val="00C13B18"/>
    <w:rsid w:val="00C13E7A"/>
    <w:rsid w:val="00C153AE"/>
    <w:rsid w:val="00C1563E"/>
    <w:rsid w:val="00C16143"/>
    <w:rsid w:val="00C16F51"/>
    <w:rsid w:val="00C17183"/>
    <w:rsid w:val="00C1730A"/>
    <w:rsid w:val="00C211C2"/>
    <w:rsid w:val="00C21870"/>
    <w:rsid w:val="00C219FE"/>
    <w:rsid w:val="00C21C1E"/>
    <w:rsid w:val="00C23579"/>
    <w:rsid w:val="00C236CF"/>
    <w:rsid w:val="00C236ED"/>
    <w:rsid w:val="00C23963"/>
    <w:rsid w:val="00C23C6C"/>
    <w:rsid w:val="00C23E89"/>
    <w:rsid w:val="00C24B88"/>
    <w:rsid w:val="00C24E8C"/>
    <w:rsid w:val="00C254C6"/>
    <w:rsid w:val="00C26CF5"/>
    <w:rsid w:val="00C26E60"/>
    <w:rsid w:val="00C27135"/>
    <w:rsid w:val="00C2796C"/>
    <w:rsid w:val="00C30BDE"/>
    <w:rsid w:val="00C32491"/>
    <w:rsid w:val="00C324BB"/>
    <w:rsid w:val="00C32581"/>
    <w:rsid w:val="00C33DFE"/>
    <w:rsid w:val="00C3477F"/>
    <w:rsid w:val="00C34E64"/>
    <w:rsid w:val="00C34EC4"/>
    <w:rsid w:val="00C351EC"/>
    <w:rsid w:val="00C35B4B"/>
    <w:rsid w:val="00C36A97"/>
    <w:rsid w:val="00C37814"/>
    <w:rsid w:val="00C37A2C"/>
    <w:rsid w:val="00C37DE1"/>
    <w:rsid w:val="00C37E08"/>
    <w:rsid w:val="00C410F0"/>
    <w:rsid w:val="00C4247D"/>
    <w:rsid w:val="00C426DB"/>
    <w:rsid w:val="00C42ED2"/>
    <w:rsid w:val="00C443EB"/>
    <w:rsid w:val="00C44E9E"/>
    <w:rsid w:val="00C4506D"/>
    <w:rsid w:val="00C45CBA"/>
    <w:rsid w:val="00C4708A"/>
    <w:rsid w:val="00C479B7"/>
    <w:rsid w:val="00C47AF8"/>
    <w:rsid w:val="00C47C65"/>
    <w:rsid w:val="00C47E33"/>
    <w:rsid w:val="00C504A2"/>
    <w:rsid w:val="00C510B8"/>
    <w:rsid w:val="00C51FF1"/>
    <w:rsid w:val="00C53A5A"/>
    <w:rsid w:val="00C54591"/>
    <w:rsid w:val="00C54E81"/>
    <w:rsid w:val="00C5545D"/>
    <w:rsid w:val="00C55954"/>
    <w:rsid w:val="00C563E6"/>
    <w:rsid w:val="00C5678B"/>
    <w:rsid w:val="00C56C61"/>
    <w:rsid w:val="00C56E74"/>
    <w:rsid w:val="00C57436"/>
    <w:rsid w:val="00C5787D"/>
    <w:rsid w:val="00C60BC0"/>
    <w:rsid w:val="00C60E18"/>
    <w:rsid w:val="00C610E1"/>
    <w:rsid w:val="00C61220"/>
    <w:rsid w:val="00C61681"/>
    <w:rsid w:val="00C61BDC"/>
    <w:rsid w:val="00C61DB4"/>
    <w:rsid w:val="00C622B1"/>
    <w:rsid w:val="00C623FB"/>
    <w:rsid w:val="00C62AC3"/>
    <w:rsid w:val="00C62DED"/>
    <w:rsid w:val="00C62F3D"/>
    <w:rsid w:val="00C6345F"/>
    <w:rsid w:val="00C63CEA"/>
    <w:rsid w:val="00C63D6C"/>
    <w:rsid w:val="00C64451"/>
    <w:rsid w:val="00C657C8"/>
    <w:rsid w:val="00C67F23"/>
    <w:rsid w:val="00C67FAC"/>
    <w:rsid w:val="00C700CB"/>
    <w:rsid w:val="00C7016F"/>
    <w:rsid w:val="00C702A0"/>
    <w:rsid w:val="00C70D52"/>
    <w:rsid w:val="00C70F9A"/>
    <w:rsid w:val="00C72368"/>
    <w:rsid w:val="00C724F6"/>
    <w:rsid w:val="00C725B2"/>
    <w:rsid w:val="00C726D2"/>
    <w:rsid w:val="00C72C9F"/>
    <w:rsid w:val="00C7557C"/>
    <w:rsid w:val="00C758F9"/>
    <w:rsid w:val="00C75BD5"/>
    <w:rsid w:val="00C75E2D"/>
    <w:rsid w:val="00C764BA"/>
    <w:rsid w:val="00C76997"/>
    <w:rsid w:val="00C76AD1"/>
    <w:rsid w:val="00C7763B"/>
    <w:rsid w:val="00C77A60"/>
    <w:rsid w:val="00C77DF7"/>
    <w:rsid w:val="00C77F31"/>
    <w:rsid w:val="00C800CC"/>
    <w:rsid w:val="00C814E2"/>
    <w:rsid w:val="00C81D82"/>
    <w:rsid w:val="00C82FD6"/>
    <w:rsid w:val="00C839A4"/>
    <w:rsid w:val="00C83D62"/>
    <w:rsid w:val="00C8422D"/>
    <w:rsid w:val="00C84DEB"/>
    <w:rsid w:val="00C8640D"/>
    <w:rsid w:val="00C87112"/>
    <w:rsid w:val="00C8711C"/>
    <w:rsid w:val="00C908CA"/>
    <w:rsid w:val="00C91DA4"/>
    <w:rsid w:val="00C921D1"/>
    <w:rsid w:val="00C92259"/>
    <w:rsid w:val="00C926D5"/>
    <w:rsid w:val="00C93145"/>
    <w:rsid w:val="00C93319"/>
    <w:rsid w:val="00C9401F"/>
    <w:rsid w:val="00C943CF"/>
    <w:rsid w:val="00C9534D"/>
    <w:rsid w:val="00C95479"/>
    <w:rsid w:val="00C967B1"/>
    <w:rsid w:val="00C975BC"/>
    <w:rsid w:val="00C97669"/>
    <w:rsid w:val="00CA00E6"/>
    <w:rsid w:val="00CA06D8"/>
    <w:rsid w:val="00CA0D79"/>
    <w:rsid w:val="00CA28AE"/>
    <w:rsid w:val="00CA38B4"/>
    <w:rsid w:val="00CA3B8B"/>
    <w:rsid w:val="00CA652F"/>
    <w:rsid w:val="00CA65BF"/>
    <w:rsid w:val="00CA6C89"/>
    <w:rsid w:val="00CA7153"/>
    <w:rsid w:val="00CA7F8E"/>
    <w:rsid w:val="00CB018B"/>
    <w:rsid w:val="00CB04A8"/>
    <w:rsid w:val="00CB05A6"/>
    <w:rsid w:val="00CB07CF"/>
    <w:rsid w:val="00CB0977"/>
    <w:rsid w:val="00CB099D"/>
    <w:rsid w:val="00CB1DBC"/>
    <w:rsid w:val="00CB23C3"/>
    <w:rsid w:val="00CB3E4F"/>
    <w:rsid w:val="00CB3F99"/>
    <w:rsid w:val="00CB50EA"/>
    <w:rsid w:val="00CB53AC"/>
    <w:rsid w:val="00CB57BE"/>
    <w:rsid w:val="00CB655F"/>
    <w:rsid w:val="00CB67FF"/>
    <w:rsid w:val="00CB6B38"/>
    <w:rsid w:val="00CB6F1A"/>
    <w:rsid w:val="00CB71B4"/>
    <w:rsid w:val="00CB7754"/>
    <w:rsid w:val="00CB7A39"/>
    <w:rsid w:val="00CC0876"/>
    <w:rsid w:val="00CC124D"/>
    <w:rsid w:val="00CC1659"/>
    <w:rsid w:val="00CC1BB8"/>
    <w:rsid w:val="00CC1C69"/>
    <w:rsid w:val="00CC206F"/>
    <w:rsid w:val="00CC20A0"/>
    <w:rsid w:val="00CC2C36"/>
    <w:rsid w:val="00CC3804"/>
    <w:rsid w:val="00CC3E08"/>
    <w:rsid w:val="00CC3E2C"/>
    <w:rsid w:val="00CC46DE"/>
    <w:rsid w:val="00CC51BB"/>
    <w:rsid w:val="00CC5247"/>
    <w:rsid w:val="00CC52F5"/>
    <w:rsid w:val="00CC7108"/>
    <w:rsid w:val="00CD0FBC"/>
    <w:rsid w:val="00CD120E"/>
    <w:rsid w:val="00CD154F"/>
    <w:rsid w:val="00CD181B"/>
    <w:rsid w:val="00CD1A0B"/>
    <w:rsid w:val="00CD2826"/>
    <w:rsid w:val="00CD327F"/>
    <w:rsid w:val="00CD498E"/>
    <w:rsid w:val="00CD5E0E"/>
    <w:rsid w:val="00CD711E"/>
    <w:rsid w:val="00CD773C"/>
    <w:rsid w:val="00CE180C"/>
    <w:rsid w:val="00CE1A7F"/>
    <w:rsid w:val="00CE3DC1"/>
    <w:rsid w:val="00CE442D"/>
    <w:rsid w:val="00CE6F91"/>
    <w:rsid w:val="00CE77BA"/>
    <w:rsid w:val="00CE7E68"/>
    <w:rsid w:val="00CF07A0"/>
    <w:rsid w:val="00CF0FBA"/>
    <w:rsid w:val="00CF1993"/>
    <w:rsid w:val="00CF29C9"/>
    <w:rsid w:val="00CF2DBB"/>
    <w:rsid w:val="00CF3140"/>
    <w:rsid w:val="00CF5169"/>
    <w:rsid w:val="00CF6C50"/>
    <w:rsid w:val="00CF791F"/>
    <w:rsid w:val="00D000EC"/>
    <w:rsid w:val="00D001C0"/>
    <w:rsid w:val="00D008EE"/>
    <w:rsid w:val="00D01474"/>
    <w:rsid w:val="00D0186C"/>
    <w:rsid w:val="00D01B91"/>
    <w:rsid w:val="00D01F5C"/>
    <w:rsid w:val="00D02793"/>
    <w:rsid w:val="00D0281A"/>
    <w:rsid w:val="00D02D26"/>
    <w:rsid w:val="00D03542"/>
    <w:rsid w:val="00D03E6A"/>
    <w:rsid w:val="00D05054"/>
    <w:rsid w:val="00D05521"/>
    <w:rsid w:val="00D05E24"/>
    <w:rsid w:val="00D066FC"/>
    <w:rsid w:val="00D06DD1"/>
    <w:rsid w:val="00D073AD"/>
    <w:rsid w:val="00D07D58"/>
    <w:rsid w:val="00D107FC"/>
    <w:rsid w:val="00D10CCA"/>
    <w:rsid w:val="00D115D3"/>
    <w:rsid w:val="00D11902"/>
    <w:rsid w:val="00D131D0"/>
    <w:rsid w:val="00D138A7"/>
    <w:rsid w:val="00D13924"/>
    <w:rsid w:val="00D165EB"/>
    <w:rsid w:val="00D17F4C"/>
    <w:rsid w:val="00D207B6"/>
    <w:rsid w:val="00D20976"/>
    <w:rsid w:val="00D2099D"/>
    <w:rsid w:val="00D2127D"/>
    <w:rsid w:val="00D21D3E"/>
    <w:rsid w:val="00D2230E"/>
    <w:rsid w:val="00D227CA"/>
    <w:rsid w:val="00D23046"/>
    <w:rsid w:val="00D2335F"/>
    <w:rsid w:val="00D237A9"/>
    <w:rsid w:val="00D23D09"/>
    <w:rsid w:val="00D2428D"/>
    <w:rsid w:val="00D255A3"/>
    <w:rsid w:val="00D25E79"/>
    <w:rsid w:val="00D25ED4"/>
    <w:rsid w:val="00D2680B"/>
    <w:rsid w:val="00D26B0C"/>
    <w:rsid w:val="00D27133"/>
    <w:rsid w:val="00D272D3"/>
    <w:rsid w:val="00D30A58"/>
    <w:rsid w:val="00D30B43"/>
    <w:rsid w:val="00D31160"/>
    <w:rsid w:val="00D315DD"/>
    <w:rsid w:val="00D31830"/>
    <w:rsid w:val="00D31E08"/>
    <w:rsid w:val="00D31E97"/>
    <w:rsid w:val="00D33891"/>
    <w:rsid w:val="00D3403C"/>
    <w:rsid w:val="00D345E9"/>
    <w:rsid w:val="00D350DE"/>
    <w:rsid w:val="00D35A1F"/>
    <w:rsid w:val="00D35AE8"/>
    <w:rsid w:val="00D361F3"/>
    <w:rsid w:val="00D37923"/>
    <w:rsid w:val="00D40B13"/>
    <w:rsid w:val="00D4257D"/>
    <w:rsid w:val="00D4404D"/>
    <w:rsid w:val="00D4425C"/>
    <w:rsid w:val="00D4490A"/>
    <w:rsid w:val="00D44CB0"/>
    <w:rsid w:val="00D44D4E"/>
    <w:rsid w:val="00D4589B"/>
    <w:rsid w:val="00D45E10"/>
    <w:rsid w:val="00D45E28"/>
    <w:rsid w:val="00D4611F"/>
    <w:rsid w:val="00D4639B"/>
    <w:rsid w:val="00D4656B"/>
    <w:rsid w:val="00D469B4"/>
    <w:rsid w:val="00D46D4E"/>
    <w:rsid w:val="00D47159"/>
    <w:rsid w:val="00D4717F"/>
    <w:rsid w:val="00D47B63"/>
    <w:rsid w:val="00D52194"/>
    <w:rsid w:val="00D52786"/>
    <w:rsid w:val="00D540FE"/>
    <w:rsid w:val="00D55DB2"/>
    <w:rsid w:val="00D57587"/>
    <w:rsid w:val="00D57B10"/>
    <w:rsid w:val="00D57D8F"/>
    <w:rsid w:val="00D60252"/>
    <w:rsid w:val="00D60B14"/>
    <w:rsid w:val="00D611E8"/>
    <w:rsid w:val="00D621AA"/>
    <w:rsid w:val="00D6304D"/>
    <w:rsid w:val="00D6342E"/>
    <w:rsid w:val="00D63607"/>
    <w:rsid w:val="00D63D0A"/>
    <w:rsid w:val="00D63F05"/>
    <w:rsid w:val="00D658B9"/>
    <w:rsid w:val="00D66257"/>
    <w:rsid w:val="00D70AB3"/>
    <w:rsid w:val="00D71802"/>
    <w:rsid w:val="00D72407"/>
    <w:rsid w:val="00D72639"/>
    <w:rsid w:val="00D72ADD"/>
    <w:rsid w:val="00D72DB0"/>
    <w:rsid w:val="00D73D92"/>
    <w:rsid w:val="00D743B5"/>
    <w:rsid w:val="00D746B3"/>
    <w:rsid w:val="00D749BD"/>
    <w:rsid w:val="00D75233"/>
    <w:rsid w:val="00D754A1"/>
    <w:rsid w:val="00D757B1"/>
    <w:rsid w:val="00D758DB"/>
    <w:rsid w:val="00D76433"/>
    <w:rsid w:val="00D766F6"/>
    <w:rsid w:val="00D7678F"/>
    <w:rsid w:val="00D76A49"/>
    <w:rsid w:val="00D77804"/>
    <w:rsid w:val="00D81885"/>
    <w:rsid w:val="00D82548"/>
    <w:rsid w:val="00D82926"/>
    <w:rsid w:val="00D8347F"/>
    <w:rsid w:val="00D835A8"/>
    <w:rsid w:val="00D85345"/>
    <w:rsid w:val="00D85901"/>
    <w:rsid w:val="00D85C8C"/>
    <w:rsid w:val="00D85F96"/>
    <w:rsid w:val="00D8797F"/>
    <w:rsid w:val="00D90D7E"/>
    <w:rsid w:val="00D910A2"/>
    <w:rsid w:val="00D9171B"/>
    <w:rsid w:val="00D91FB9"/>
    <w:rsid w:val="00D92B32"/>
    <w:rsid w:val="00D92BF7"/>
    <w:rsid w:val="00D9347B"/>
    <w:rsid w:val="00D937C2"/>
    <w:rsid w:val="00D93A93"/>
    <w:rsid w:val="00D93ABB"/>
    <w:rsid w:val="00D93C0F"/>
    <w:rsid w:val="00D93EB2"/>
    <w:rsid w:val="00D93FC1"/>
    <w:rsid w:val="00D956AD"/>
    <w:rsid w:val="00D95C7A"/>
    <w:rsid w:val="00D95E04"/>
    <w:rsid w:val="00D97A20"/>
    <w:rsid w:val="00DA0010"/>
    <w:rsid w:val="00DA049F"/>
    <w:rsid w:val="00DA0AED"/>
    <w:rsid w:val="00DA0C34"/>
    <w:rsid w:val="00DA1284"/>
    <w:rsid w:val="00DA190E"/>
    <w:rsid w:val="00DA39C9"/>
    <w:rsid w:val="00DA4A7A"/>
    <w:rsid w:val="00DA4F91"/>
    <w:rsid w:val="00DA6AEA"/>
    <w:rsid w:val="00DA73E8"/>
    <w:rsid w:val="00DA78EA"/>
    <w:rsid w:val="00DB2671"/>
    <w:rsid w:val="00DB3658"/>
    <w:rsid w:val="00DB7AA1"/>
    <w:rsid w:val="00DC0130"/>
    <w:rsid w:val="00DC04B3"/>
    <w:rsid w:val="00DC0788"/>
    <w:rsid w:val="00DC08FB"/>
    <w:rsid w:val="00DC0D10"/>
    <w:rsid w:val="00DC11F4"/>
    <w:rsid w:val="00DC1560"/>
    <w:rsid w:val="00DC2165"/>
    <w:rsid w:val="00DC2621"/>
    <w:rsid w:val="00DC2D87"/>
    <w:rsid w:val="00DC39AD"/>
    <w:rsid w:val="00DC3DB5"/>
    <w:rsid w:val="00DC3F03"/>
    <w:rsid w:val="00DC40D2"/>
    <w:rsid w:val="00DC525F"/>
    <w:rsid w:val="00DC581F"/>
    <w:rsid w:val="00DC5949"/>
    <w:rsid w:val="00DC65D0"/>
    <w:rsid w:val="00DC6693"/>
    <w:rsid w:val="00DC6C4D"/>
    <w:rsid w:val="00DD0593"/>
    <w:rsid w:val="00DD197B"/>
    <w:rsid w:val="00DD1B6B"/>
    <w:rsid w:val="00DD1D14"/>
    <w:rsid w:val="00DD1F22"/>
    <w:rsid w:val="00DD2123"/>
    <w:rsid w:val="00DD2C39"/>
    <w:rsid w:val="00DD2E17"/>
    <w:rsid w:val="00DD2FE3"/>
    <w:rsid w:val="00DD4941"/>
    <w:rsid w:val="00DD4CF9"/>
    <w:rsid w:val="00DD4DA0"/>
    <w:rsid w:val="00DD59D1"/>
    <w:rsid w:val="00DD5E40"/>
    <w:rsid w:val="00DD705F"/>
    <w:rsid w:val="00DD75BA"/>
    <w:rsid w:val="00DD7880"/>
    <w:rsid w:val="00DE0BFC"/>
    <w:rsid w:val="00DE1A2D"/>
    <w:rsid w:val="00DE1F2D"/>
    <w:rsid w:val="00DE2575"/>
    <w:rsid w:val="00DE27BC"/>
    <w:rsid w:val="00DE3300"/>
    <w:rsid w:val="00DE3A9C"/>
    <w:rsid w:val="00DE4113"/>
    <w:rsid w:val="00DE417A"/>
    <w:rsid w:val="00DE442A"/>
    <w:rsid w:val="00DE4B63"/>
    <w:rsid w:val="00DE4D0D"/>
    <w:rsid w:val="00DE509B"/>
    <w:rsid w:val="00DE5DAC"/>
    <w:rsid w:val="00DE61D5"/>
    <w:rsid w:val="00DE6477"/>
    <w:rsid w:val="00DE6ADB"/>
    <w:rsid w:val="00DE731F"/>
    <w:rsid w:val="00DE7460"/>
    <w:rsid w:val="00DE79E5"/>
    <w:rsid w:val="00DF0399"/>
    <w:rsid w:val="00DF0C86"/>
    <w:rsid w:val="00DF1135"/>
    <w:rsid w:val="00DF1EBF"/>
    <w:rsid w:val="00DF2456"/>
    <w:rsid w:val="00DF2F0B"/>
    <w:rsid w:val="00DF3907"/>
    <w:rsid w:val="00DF3DDC"/>
    <w:rsid w:val="00DF41F7"/>
    <w:rsid w:val="00DF5B8B"/>
    <w:rsid w:val="00DF5D97"/>
    <w:rsid w:val="00DF662D"/>
    <w:rsid w:val="00DF6ABD"/>
    <w:rsid w:val="00DF6D00"/>
    <w:rsid w:val="00DF7A5E"/>
    <w:rsid w:val="00DF7EA9"/>
    <w:rsid w:val="00E0153C"/>
    <w:rsid w:val="00E0224A"/>
    <w:rsid w:val="00E02565"/>
    <w:rsid w:val="00E03733"/>
    <w:rsid w:val="00E03C46"/>
    <w:rsid w:val="00E03C4E"/>
    <w:rsid w:val="00E03FE0"/>
    <w:rsid w:val="00E04549"/>
    <w:rsid w:val="00E048BA"/>
    <w:rsid w:val="00E04971"/>
    <w:rsid w:val="00E058BE"/>
    <w:rsid w:val="00E05CF6"/>
    <w:rsid w:val="00E060E4"/>
    <w:rsid w:val="00E064E8"/>
    <w:rsid w:val="00E07806"/>
    <w:rsid w:val="00E07FD9"/>
    <w:rsid w:val="00E10C6F"/>
    <w:rsid w:val="00E121FA"/>
    <w:rsid w:val="00E135A2"/>
    <w:rsid w:val="00E1365A"/>
    <w:rsid w:val="00E13798"/>
    <w:rsid w:val="00E145CD"/>
    <w:rsid w:val="00E14D47"/>
    <w:rsid w:val="00E15D69"/>
    <w:rsid w:val="00E15F46"/>
    <w:rsid w:val="00E16259"/>
    <w:rsid w:val="00E16D6F"/>
    <w:rsid w:val="00E16E2D"/>
    <w:rsid w:val="00E174E4"/>
    <w:rsid w:val="00E17734"/>
    <w:rsid w:val="00E20A4A"/>
    <w:rsid w:val="00E212FD"/>
    <w:rsid w:val="00E2133E"/>
    <w:rsid w:val="00E21B91"/>
    <w:rsid w:val="00E21EEF"/>
    <w:rsid w:val="00E2259F"/>
    <w:rsid w:val="00E23037"/>
    <w:rsid w:val="00E234F5"/>
    <w:rsid w:val="00E241A9"/>
    <w:rsid w:val="00E250E7"/>
    <w:rsid w:val="00E25153"/>
    <w:rsid w:val="00E2567A"/>
    <w:rsid w:val="00E2641B"/>
    <w:rsid w:val="00E265D2"/>
    <w:rsid w:val="00E270D3"/>
    <w:rsid w:val="00E27344"/>
    <w:rsid w:val="00E278CB"/>
    <w:rsid w:val="00E3052D"/>
    <w:rsid w:val="00E307EF"/>
    <w:rsid w:val="00E30B60"/>
    <w:rsid w:val="00E30BED"/>
    <w:rsid w:val="00E31432"/>
    <w:rsid w:val="00E319E7"/>
    <w:rsid w:val="00E32384"/>
    <w:rsid w:val="00E3256C"/>
    <w:rsid w:val="00E3258F"/>
    <w:rsid w:val="00E3299D"/>
    <w:rsid w:val="00E33D63"/>
    <w:rsid w:val="00E3409F"/>
    <w:rsid w:val="00E34451"/>
    <w:rsid w:val="00E34BB0"/>
    <w:rsid w:val="00E35C59"/>
    <w:rsid w:val="00E37B2D"/>
    <w:rsid w:val="00E37DB0"/>
    <w:rsid w:val="00E408D2"/>
    <w:rsid w:val="00E4111B"/>
    <w:rsid w:val="00E41944"/>
    <w:rsid w:val="00E4209B"/>
    <w:rsid w:val="00E43469"/>
    <w:rsid w:val="00E43826"/>
    <w:rsid w:val="00E43FC6"/>
    <w:rsid w:val="00E44926"/>
    <w:rsid w:val="00E44EDA"/>
    <w:rsid w:val="00E459F0"/>
    <w:rsid w:val="00E463D3"/>
    <w:rsid w:val="00E47950"/>
    <w:rsid w:val="00E51104"/>
    <w:rsid w:val="00E514CE"/>
    <w:rsid w:val="00E51F0F"/>
    <w:rsid w:val="00E521C1"/>
    <w:rsid w:val="00E530B4"/>
    <w:rsid w:val="00E53402"/>
    <w:rsid w:val="00E538BF"/>
    <w:rsid w:val="00E54831"/>
    <w:rsid w:val="00E55143"/>
    <w:rsid w:val="00E553FE"/>
    <w:rsid w:val="00E566BF"/>
    <w:rsid w:val="00E57627"/>
    <w:rsid w:val="00E60FDD"/>
    <w:rsid w:val="00E61021"/>
    <w:rsid w:val="00E61C45"/>
    <w:rsid w:val="00E62096"/>
    <w:rsid w:val="00E621D4"/>
    <w:rsid w:val="00E6245E"/>
    <w:rsid w:val="00E6258E"/>
    <w:rsid w:val="00E633A8"/>
    <w:rsid w:val="00E639EF"/>
    <w:rsid w:val="00E646E3"/>
    <w:rsid w:val="00E65261"/>
    <w:rsid w:val="00E65881"/>
    <w:rsid w:val="00E65E41"/>
    <w:rsid w:val="00E6606A"/>
    <w:rsid w:val="00E662E0"/>
    <w:rsid w:val="00E66D3B"/>
    <w:rsid w:val="00E7078E"/>
    <w:rsid w:val="00E70A0A"/>
    <w:rsid w:val="00E718BE"/>
    <w:rsid w:val="00E72552"/>
    <w:rsid w:val="00E7263E"/>
    <w:rsid w:val="00E73232"/>
    <w:rsid w:val="00E7328E"/>
    <w:rsid w:val="00E7339E"/>
    <w:rsid w:val="00E74317"/>
    <w:rsid w:val="00E74585"/>
    <w:rsid w:val="00E7627F"/>
    <w:rsid w:val="00E76861"/>
    <w:rsid w:val="00E76F13"/>
    <w:rsid w:val="00E80608"/>
    <w:rsid w:val="00E81442"/>
    <w:rsid w:val="00E8279F"/>
    <w:rsid w:val="00E828A9"/>
    <w:rsid w:val="00E82A97"/>
    <w:rsid w:val="00E834F4"/>
    <w:rsid w:val="00E84AE1"/>
    <w:rsid w:val="00E84EA9"/>
    <w:rsid w:val="00E84EFA"/>
    <w:rsid w:val="00E85826"/>
    <w:rsid w:val="00E85828"/>
    <w:rsid w:val="00E867D9"/>
    <w:rsid w:val="00E87336"/>
    <w:rsid w:val="00E87D60"/>
    <w:rsid w:val="00E87E3F"/>
    <w:rsid w:val="00E902A4"/>
    <w:rsid w:val="00E90E54"/>
    <w:rsid w:val="00E911CE"/>
    <w:rsid w:val="00E9209A"/>
    <w:rsid w:val="00E92188"/>
    <w:rsid w:val="00E9322B"/>
    <w:rsid w:val="00E93248"/>
    <w:rsid w:val="00E93466"/>
    <w:rsid w:val="00E93B26"/>
    <w:rsid w:val="00E94151"/>
    <w:rsid w:val="00E94780"/>
    <w:rsid w:val="00E95452"/>
    <w:rsid w:val="00E957B7"/>
    <w:rsid w:val="00E95DD3"/>
    <w:rsid w:val="00E969A0"/>
    <w:rsid w:val="00E96CC4"/>
    <w:rsid w:val="00E976DB"/>
    <w:rsid w:val="00EA0085"/>
    <w:rsid w:val="00EA0E17"/>
    <w:rsid w:val="00EA1F77"/>
    <w:rsid w:val="00EA249C"/>
    <w:rsid w:val="00EA335A"/>
    <w:rsid w:val="00EA3C5E"/>
    <w:rsid w:val="00EA4022"/>
    <w:rsid w:val="00EA4AD7"/>
    <w:rsid w:val="00EA50AB"/>
    <w:rsid w:val="00EA5123"/>
    <w:rsid w:val="00EA62D0"/>
    <w:rsid w:val="00EA6309"/>
    <w:rsid w:val="00EA735B"/>
    <w:rsid w:val="00EB04B0"/>
    <w:rsid w:val="00EB105F"/>
    <w:rsid w:val="00EB1253"/>
    <w:rsid w:val="00EB1813"/>
    <w:rsid w:val="00EB1EA4"/>
    <w:rsid w:val="00EB22CC"/>
    <w:rsid w:val="00EB2811"/>
    <w:rsid w:val="00EB333A"/>
    <w:rsid w:val="00EB373F"/>
    <w:rsid w:val="00EB42B7"/>
    <w:rsid w:val="00EB4693"/>
    <w:rsid w:val="00EB5335"/>
    <w:rsid w:val="00EB55BD"/>
    <w:rsid w:val="00EB562E"/>
    <w:rsid w:val="00EB6092"/>
    <w:rsid w:val="00EB631A"/>
    <w:rsid w:val="00EB6C56"/>
    <w:rsid w:val="00EB6FA2"/>
    <w:rsid w:val="00EC06A3"/>
    <w:rsid w:val="00EC0C35"/>
    <w:rsid w:val="00EC11C4"/>
    <w:rsid w:val="00EC1A0C"/>
    <w:rsid w:val="00EC2CBE"/>
    <w:rsid w:val="00EC33A2"/>
    <w:rsid w:val="00EC3468"/>
    <w:rsid w:val="00EC3747"/>
    <w:rsid w:val="00EC3BC8"/>
    <w:rsid w:val="00EC42AE"/>
    <w:rsid w:val="00EC506B"/>
    <w:rsid w:val="00EC5566"/>
    <w:rsid w:val="00EC59FF"/>
    <w:rsid w:val="00EC5E79"/>
    <w:rsid w:val="00EC6B98"/>
    <w:rsid w:val="00EC6EF4"/>
    <w:rsid w:val="00ED08B7"/>
    <w:rsid w:val="00ED1904"/>
    <w:rsid w:val="00ED1A10"/>
    <w:rsid w:val="00ED20A4"/>
    <w:rsid w:val="00ED24EE"/>
    <w:rsid w:val="00ED476A"/>
    <w:rsid w:val="00ED4886"/>
    <w:rsid w:val="00ED4D50"/>
    <w:rsid w:val="00ED51EC"/>
    <w:rsid w:val="00ED59B2"/>
    <w:rsid w:val="00ED59B5"/>
    <w:rsid w:val="00ED6A5D"/>
    <w:rsid w:val="00ED6F95"/>
    <w:rsid w:val="00ED71A6"/>
    <w:rsid w:val="00ED723A"/>
    <w:rsid w:val="00ED7510"/>
    <w:rsid w:val="00ED7D66"/>
    <w:rsid w:val="00EE03EF"/>
    <w:rsid w:val="00EE4559"/>
    <w:rsid w:val="00EE4C61"/>
    <w:rsid w:val="00EE6068"/>
    <w:rsid w:val="00EE60DD"/>
    <w:rsid w:val="00EE652B"/>
    <w:rsid w:val="00EE6826"/>
    <w:rsid w:val="00EE6950"/>
    <w:rsid w:val="00EE7073"/>
    <w:rsid w:val="00EF0554"/>
    <w:rsid w:val="00EF130A"/>
    <w:rsid w:val="00EF1F95"/>
    <w:rsid w:val="00EF249A"/>
    <w:rsid w:val="00EF310B"/>
    <w:rsid w:val="00EF3A92"/>
    <w:rsid w:val="00EF3C19"/>
    <w:rsid w:val="00EF4A50"/>
    <w:rsid w:val="00EF579D"/>
    <w:rsid w:val="00EF6A1A"/>
    <w:rsid w:val="00EF73CB"/>
    <w:rsid w:val="00EF74CF"/>
    <w:rsid w:val="00EF74EE"/>
    <w:rsid w:val="00EF7952"/>
    <w:rsid w:val="00F0037E"/>
    <w:rsid w:val="00F01285"/>
    <w:rsid w:val="00F0259D"/>
    <w:rsid w:val="00F02A57"/>
    <w:rsid w:val="00F04CDF"/>
    <w:rsid w:val="00F04D2E"/>
    <w:rsid w:val="00F057A2"/>
    <w:rsid w:val="00F05EC7"/>
    <w:rsid w:val="00F0614B"/>
    <w:rsid w:val="00F0622E"/>
    <w:rsid w:val="00F0671C"/>
    <w:rsid w:val="00F06E1A"/>
    <w:rsid w:val="00F074B3"/>
    <w:rsid w:val="00F107CC"/>
    <w:rsid w:val="00F10B04"/>
    <w:rsid w:val="00F10BCE"/>
    <w:rsid w:val="00F125C5"/>
    <w:rsid w:val="00F126B0"/>
    <w:rsid w:val="00F1596D"/>
    <w:rsid w:val="00F15EE0"/>
    <w:rsid w:val="00F16D75"/>
    <w:rsid w:val="00F16F92"/>
    <w:rsid w:val="00F201D9"/>
    <w:rsid w:val="00F211C3"/>
    <w:rsid w:val="00F21202"/>
    <w:rsid w:val="00F219CE"/>
    <w:rsid w:val="00F21E37"/>
    <w:rsid w:val="00F22926"/>
    <w:rsid w:val="00F2383D"/>
    <w:rsid w:val="00F24637"/>
    <w:rsid w:val="00F25F4A"/>
    <w:rsid w:val="00F26DEA"/>
    <w:rsid w:val="00F30A89"/>
    <w:rsid w:val="00F30AF3"/>
    <w:rsid w:val="00F30C5A"/>
    <w:rsid w:val="00F30F54"/>
    <w:rsid w:val="00F313C6"/>
    <w:rsid w:val="00F31420"/>
    <w:rsid w:val="00F316D0"/>
    <w:rsid w:val="00F31D1E"/>
    <w:rsid w:val="00F320D5"/>
    <w:rsid w:val="00F32622"/>
    <w:rsid w:val="00F3293A"/>
    <w:rsid w:val="00F332AB"/>
    <w:rsid w:val="00F33B04"/>
    <w:rsid w:val="00F34134"/>
    <w:rsid w:val="00F34688"/>
    <w:rsid w:val="00F34F25"/>
    <w:rsid w:val="00F353E8"/>
    <w:rsid w:val="00F3554E"/>
    <w:rsid w:val="00F3556F"/>
    <w:rsid w:val="00F35FA2"/>
    <w:rsid w:val="00F3693B"/>
    <w:rsid w:val="00F37B23"/>
    <w:rsid w:val="00F40D60"/>
    <w:rsid w:val="00F415DC"/>
    <w:rsid w:val="00F41DD7"/>
    <w:rsid w:val="00F41E70"/>
    <w:rsid w:val="00F42565"/>
    <w:rsid w:val="00F42DB2"/>
    <w:rsid w:val="00F43C04"/>
    <w:rsid w:val="00F440BE"/>
    <w:rsid w:val="00F4518A"/>
    <w:rsid w:val="00F452F9"/>
    <w:rsid w:val="00F45856"/>
    <w:rsid w:val="00F45CF1"/>
    <w:rsid w:val="00F465ED"/>
    <w:rsid w:val="00F46648"/>
    <w:rsid w:val="00F506B7"/>
    <w:rsid w:val="00F50B78"/>
    <w:rsid w:val="00F51DBB"/>
    <w:rsid w:val="00F522F0"/>
    <w:rsid w:val="00F53080"/>
    <w:rsid w:val="00F53CEA"/>
    <w:rsid w:val="00F543A7"/>
    <w:rsid w:val="00F54CDB"/>
    <w:rsid w:val="00F558BC"/>
    <w:rsid w:val="00F5675A"/>
    <w:rsid w:val="00F56EFC"/>
    <w:rsid w:val="00F57948"/>
    <w:rsid w:val="00F602B7"/>
    <w:rsid w:val="00F61B4A"/>
    <w:rsid w:val="00F61DAE"/>
    <w:rsid w:val="00F628C4"/>
    <w:rsid w:val="00F6383B"/>
    <w:rsid w:val="00F640CE"/>
    <w:rsid w:val="00F64F2E"/>
    <w:rsid w:val="00F6539E"/>
    <w:rsid w:val="00F6571D"/>
    <w:rsid w:val="00F65E14"/>
    <w:rsid w:val="00F668A8"/>
    <w:rsid w:val="00F66ABF"/>
    <w:rsid w:val="00F66C09"/>
    <w:rsid w:val="00F67114"/>
    <w:rsid w:val="00F67E56"/>
    <w:rsid w:val="00F71405"/>
    <w:rsid w:val="00F718DB"/>
    <w:rsid w:val="00F71BDD"/>
    <w:rsid w:val="00F72A4B"/>
    <w:rsid w:val="00F74129"/>
    <w:rsid w:val="00F7503F"/>
    <w:rsid w:val="00F75155"/>
    <w:rsid w:val="00F7520E"/>
    <w:rsid w:val="00F75B37"/>
    <w:rsid w:val="00F76D3D"/>
    <w:rsid w:val="00F800C7"/>
    <w:rsid w:val="00F8011D"/>
    <w:rsid w:val="00F801A0"/>
    <w:rsid w:val="00F8097C"/>
    <w:rsid w:val="00F81533"/>
    <w:rsid w:val="00F81616"/>
    <w:rsid w:val="00F817B9"/>
    <w:rsid w:val="00F845E3"/>
    <w:rsid w:val="00F84E5B"/>
    <w:rsid w:val="00F85503"/>
    <w:rsid w:val="00F85AAC"/>
    <w:rsid w:val="00F85DF8"/>
    <w:rsid w:val="00F86055"/>
    <w:rsid w:val="00F872CA"/>
    <w:rsid w:val="00F875EF"/>
    <w:rsid w:val="00F8786E"/>
    <w:rsid w:val="00F87B1B"/>
    <w:rsid w:val="00F90944"/>
    <w:rsid w:val="00F914F7"/>
    <w:rsid w:val="00F9220B"/>
    <w:rsid w:val="00F923B8"/>
    <w:rsid w:val="00F92B94"/>
    <w:rsid w:val="00F93152"/>
    <w:rsid w:val="00F93315"/>
    <w:rsid w:val="00F9489E"/>
    <w:rsid w:val="00F9560B"/>
    <w:rsid w:val="00F95ACB"/>
    <w:rsid w:val="00F97368"/>
    <w:rsid w:val="00F97A59"/>
    <w:rsid w:val="00F97F6B"/>
    <w:rsid w:val="00FA1455"/>
    <w:rsid w:val="00FA1C6D"/>
    <w:rsid w:val="00FA1F26"/>
    <w:rsid w:val="00FA24F7"/>
    <w:rsid w:val="00FA357E"/>
    <w:rsid w:val="00FA384C"/>
    <w:rsid w:val="00FA395F"/>
    <w:rsid w:val="00FA4FCC"/>
    <w:rsid w:val="00FA5373"/>
    <w:rsid w:val="00FA64D6"/>
    <w:rsid w:val="00FA6BB3"/>
    <w:rsid w:val="00FA6C73"/>
    <w:rsid w:val="00FB00C1"/>
    <w:rsid w:val="00FB02D4"/>
    <w:rsid w:val="00FB072D"/>
    <w:rsid w:val="00FB08ED"/>
    <w:rsid w:val="00FB2DB0"/>
    <w:rsid w:val="00FB31FB"/>
    <w:rsid w:val="00FB3F7E"/>
    <w:rsid w:val="00FB4D08"/>
    <w:rsid w:val="00FB5489"/>
    <w:rsid w:val="00FB7187"/>
    <w:rsid w:val="00FB77C7"/>
    <w:rsid w:val="00FC00B3"/>
    <w:rsid w:val="00FC01D0"/>
    <w:rsid w:val="00FC1AF5"/>
    <w:rsid w:val="00FC297C"/>
    <w:rsid w:val="00FC3874"/>
    <w:rsid w:val="00FC42BF"/>
    <w:rsid w:val="00FC4B7E"/>
    <w:rsid w:val="00FC4FBA"/>
    <w:rsid w:val="00FC5B70"/>
    <w:rsid w:val="00FC6FB6"/>
    <w:rsid w:val="00FC7647"/>
    <w:rsid w:val="00FD0D9A"/>
    <w:rsid w:val="00FD117C"/>
    <w:rsid w:val="00FD1C23"/>
    <w:rsid w:val="00FD2037"/>
    <w:rsid w:val="00FD2D3E"/>
    <w:rsid w:val="00FD3006"/>
    <w:rsid w:val="00FD3141"/>
    <w:rsid w:val="00FD4019"/>
    <w:rsid w:val="00FD4247"/>
    <w:rsid w:val="00FD446E"/>
    <w:rsid w:val="00FD466F"/>
    <w:rsid w:val="00FD4D87"/>
    <w:rsid w:val="00FE060E"/>
    <w:rsid w:val="00FE105E"/>
    <w:rsid w:val="00FE187C"/>
    <w:rsid w:val="00FE24B0"/>
    <w:rsid w:val="00FE278E"/>
    <w:rsid w:val="00FE2F1A"/>
    <w:rsid w:val="00FE522B"/>
    <w:rsid w:val="00FE604A"/>
    <w:rsid w:val="00FE6539"/>
    <w:rsid w:val="00FE738B"/>
    <w:rsid w:val="00FF05C9"/>
    <w:rsid w:val="00FF0745"/>
    <w:rsid w:val="00FF09A1"/>
    <w:rsid w:val="00FF0B8E"/>
    <w:rsid w:val="00FF2215"/>
    <w:rsid w:val="00FF2C77"/>
    <w:rsid w:val="00FF3DDE"/>
    <w:rsid w:val="00FF3F85"/>
    <w:rsid w:val="00FF4943"/>
    <w:rsid w:val="00FF4BF5"/>
    <w:rsid w:val="00FF5267"/>
    <w:rsid w:val="00FF5D84"/>
    <w:rsid w:val="00FF6622"/>
    <w:rsid w:val="00FF69FE"/>
    <w:rsid w:val="00FF7CF1"/>
    <w:rsid w:val="00FF7D05"/>
    <w:rsid w:val="01565C22"/>
    <w:rsid w:val="017130ED"/>
    <w:rsid w:val="01907C1C"/>
    <w:rsid w:val="01916C5A"/>
    <w:rsid w:val="01CC54C1"/>
    <w:rsid w:val="01D9415D"/>
    <w:rsid w:val="01E74ACC"/>
    <w:rsid w:val="020F6097"/>
    <w:rsid w:val="024108F8"/>
    <w:rsid w:val="026E2AF7"/>
    <w:rsid w:val="027D71DE"/>
    <w:rsid w:val="028247F4"/>
    <w:rsid w:val="028D7421"/>
    <w:rsid w:val="029B0168"/>
    <w:rsid w:val="02C941D1"/>
    <w:rsid w:val="02E4100B"/>
    <w:rsid w:val="02E66B31"/>
    <w:rsid w:val="02F444B4"/>
    <w:rsid w:val="02F91F29"/>
    <w:rsid w:val="035F6AAC"/>
    <w:rsid w:val="039667A9"/>
    <w:rsid w:val="03A82039"/>
    <w:rsid w:val="03D42E2E"/>
    <w:rsid w:val="03DC44A7"/>
    <w:rsid w:val="040D00EE"/>
    <w:rsid w:val="04185410"/>
    <w:rsid w:val="04423589"/>
    <w:rsid w:val="04531FA4"/>
    <w:rsid w:val="04544215"/>
    <w:rsid w:val="04A40A52"/>
    <w:rsid w:val="04E01B11"/>
    <w:rsid w:val="04F1234B"/>
    <w:rsid w:val="04F54056"/>
    <w:rsid w:val="05145BD8"/>
    <w:rsid w:val="051C2CDE"/>
    <w:rsid w:val="051D01F9"/>
    <w:rsid w:val="05455959"/>
    <w:rsid w:val="05500BDA"/>
    <w:rsid w:val="0593047E"/>
    <w:rsid w:val="05CA44E8"/>
    <w:rsid w:val="05CE0012"/>
    <w:rsid w:val="05E11832"/>
    <w:rsid w:val="060F45F1"/>
    <w:rsid w:val="06135E8F"/>
    <w:rsid w:val="0627414E"/>
    <w:rsid w:val="065F10D4"/>
    <w:rsid w:val="065F3F8D"/>
    <w:rsid w:val="068E19BA"/>
    <w:rsid w:val="06954AF6"/>
    <w:rsid w:val="06AE6F3C"/>
    <w:rsid w:val="06F3506B"/>
    <w:rsid w:val="073A0B57"/>
    <w:rsid w:val="07575E67"/>
    <w:rsid w:val="07634B9C"/>
    <w:rsid w:val="08277056"/>
    <w:rsid w:val="0869448C"/>
    <w:rsid w:val="08AE1E9F"/>
    <w:rsid w:val="08B23DAA"/>
    <w:rsid w:val="08BA4CE8"/>
    <w:rsid w:val="08DA484C"/>
    <w:rsid w:val="08DD4532"/>
    <w:rsid w:val="091268D2"/>
    <w:rsid w:val="09290516"/>
    <w:rsid w:val="092C1016"/>
    <w:rsid w:val="093525C0"/>
    <w:rsid w:val="0946009F"/>
    <w:rsid w:val="09670057"/>
    <w:rsid w:val="096A34B2"/>
    <w:rsid w:val="09B334C6"/>
    <w:rsid w:val="09D55020"/>
    <w:rsid w:val="0A0C76C1"/>
    <w:rsid w:val="0A6706F7"/>
    <w:rsid w:val="0A7B04A7"/>
    <w:rsid w:val="0A7B32AF"/>
    <w:rsid w:val="0AAA2B3A"/>
    <w:rsid w:val="0AF0679F"/>
    <w:rsid w:val="0B7D5648"/>
    <w:rsid w:val="0C6A432F"/>
    <w:rsid w:val="0C767178"/>
    <w:rsid w:val="0C970E9C"/>
    <w:rsid w:val="0CA916C6"/>
    <w:rsid w:val="0CD503F2"/>
    <w:rsid w:val="0D15598B"/>
    <w:rsid w:val="0D164A0E"/>
    <w:rsid w:val="0D3371AF"/>
    <w:rsid w:val="0D447276"/>
    <w:rsid w:val="0D8D4779"/>
    <w:rsid w:val="0DC626C6"/>
    <w:rsid w:val="0DE01B78"/>
    <w:rsid w:val="0DEB14A0"/>
    <w:rsid w:val="0E0C0298"/>
    <w:rsid w:val="0E19425F"/>
    <w:rsid w:val="0E297AB8"/>
    <w:rsid w:val="0E5E1C72"/>
    <w:rsid w:val="0E875C90"/>
    <w:rsid w:val="0E903CEC"/>
    <w:rsid w:val="0F053294"/>
    <w:rsid w:val="0F35216A"/>
    <w:rsid w:val="0F5306AD"/>
    <w:rsid w:val="0F726AF9"/>
    <w:rsid w:val="0F781459"/>
    <w:rsid w:val="0F8A1360"/>
    <w:rsid w:val="10112788"/>
    <w:rsid w:val="103906EB"/>
    <w:rsid w:val="10727C56"/>
    <w:rsid w:val="10ED5D70"/>
    <w:rsid w:val="11270E97"/>
    <w:rsid w:val="11671785"/>
    <w:rsid w:val="11C15AFF"/>
    <w:rsid w:val="11C24C0D"/>
    <w:rsid w:val="11D97709"/>
    <w:rsid w:val="11E57B67"/>
    <w:rsid w:val="11FF3F33"/>
    <w:rsid w:val="120E217C"/>
    <w:rsid w:val="122C6901"/>
    <w:rsid w:val="12303925"/>
    <w:rsid w:val="12575F0C"/>
    <w:rsid w:val="126006AE"/>
    <w:rsid w:val="126267DD"/>
    <w:rsid w:val="1283614B"/>
    <w:rsid w:val="128819B3"/>
    <w:rsid w:val="128E466E"/>
    <w:rsid w:val="12C624DB"/>
    <w:rsid w:val="12CA60F6"/>
    <w:rsid w:val="135A334F"/>
    <w:rsid w:val="135D4BEE"/>
    <w:rsid w:val="13855DE4"/>
    <w:rsid w:val="138B23AF"/>
    <w:rsid w:val="138C11EB"/>
    <w:rsid w:val="139879D4"/>
    <w:rsid w:val="1399374C"/>
    <w:rsid w:val="13AA3E8F"/>
    <w:rsid w:val="13CD16C7"/>
    <w:rsid w:val="13D11190"/>
    <w:rsid w:val="13EC7D20"/>
    <w:rsid w:val="13F82B68"/>
    <w:rsid w:val="141F6347"/>
    <w:rsid w:val="14D64C58"/>
    <w:rsid w:val="14DC7D94"/>
    <w:rsid w:val="14EB79FD"/>
    <w:rsid w:val="14EF1875"/>
    <w:rsid w:val="151C4634"/>
    <w:rsid w:val="151E215B"/>
    <w:rsid w:val="152F6116"/>
    <w:rsid w:val="155206C0"/>
    <w:rsid w:val="155913E5"/>
    <w:rsid w:val="155B282E"/>
    <w:rsid w:val="156404B5"/>
    <w:rsid w:val="156B79B3"/>
    <w:rsid w:val="15B27EA8"/>
    <w:rsid w:val="15D66ED9"/>
    <w:rsid w:val="15DF5D8E"/>
    <w:rsid w:val="16081262"/>
    <w:rsid w:val="160E2253"/>
    <w:rsid w:val="163836F0"/>
    <w:rsid w:val="16473933"/>
    <w:rsid w:val="164B406E"/>
    <w:rsid w:val="16924BAE"/>
    <w:rsid w:val="16B72867"/>
    <w:rsid w:val="16C3745D"/>
    <w:rsid w:val="16F05A82"/>
    <w:rsid w:val="16F2564D"/>
    <w:rsid w:val="16F70EB5"/>
    <w:rsid w:val="177B0CB7"/>
    <w:rsid w:val="177B7D38"/>
    <w:rsid w:val="178E4F82"/>
    <w:rsid w:val="178F10EE"/>
    <w:rsid w:val="17AE0C93"/>
    <w:rsid w:val="17B678A0"/>
    <w:rsid w:val="17C4465B"/>
    <w:rsid w:val="17C53416"/>
    <w:rsid w:val="17E07B9B"/>
    <w:rsid w:val="181B6E25"/>
    <w:rsid w:val="181C333C"/>
    <w:rsid w:val="181F618F"/>
    <w:rsid w:val="182B350C"/>
    <w:rsid w:val="18417829"/>
    <w:rsid w:val="18450A85"/>
    <w:rsid w:val="18477C1A"/>
    <w:rsid w:val="186E164B"/>
    <w:rsid w:val="18983292"/>
    <w:rsid w:val="18CD45C3"/>
    <w:rsid w:val="18DF7E2B"/>
    <w:rsid w:val="191014DB"/>
    <w:rsid w:val="19102702"/>
    <w:rsid w:val="19687E48"/>
    <w:rsid w:val="19947BE9"/>
    <w:rsid w:val="19A130C8"/>
    <w:rsid w:val="19B60BB4"/>
    <w:rsid w:val="1A057D8D"/>
    <w:rsid w:val="1A09212D"/>
    <w:rsid w:val="1A1C3315"/>
    <w:rsid w:val="1A2B77F4"/>
    <w:rsid w:val="1A515C88"/>
    <w:rsid w:val="1A7D3B08"/>
    <w:rsid w:val="1AA2738A"/>
    <w:rsid w:val="1ABA0B77"/>
    <w:rsid w:val="1AF02302"/>
    <w:rsid w:val="1B0D514B"/>
    <w:rsid w:val="1B2E0C1E"/>
    <w:rsid w:val="1B324BB2"/>
    <w:rsid w:val="1B3E5B81"/>
    <w:rsid w:val="1B6B1E72"/>
    <w:rsid w:val="1B961960"/>
    <w:rsid w:val="1BC752FA"/>
    <w:rsid w:val="1BEE6C3F"/>
    <w:rsid w:val="1BF43C15"/>
    <w:rsid w:val="1C07254C"/>
    <w:rsid w:val="1C112A19"/>
    <w:rsid w:val="1C2A4EFB"/>
    <w:rsid w:val="1C2D7127"/>
    <w:rsid w:val="1C580648"/>
    <w:rsid w:val="1CF163A7"/>
    <w:rsid w:val="1CF743C0"/>
    <w:rsid w:val="1D204B7F"/>
    <w:rsid w:val="1D3A7D4E"/>
    <w:rsid w:val="1D4354D3"/>
    <w:rsid w:val="1D5273E3"/>
    <w:rsid w:val="1DA43754"/>
    <w:rsid w:val="1DAA6C81"/>
    <w:rsid w:val="1DD15853"/>
    <w:rsid w:val="1DD3037F"/>
    <w:rsid w:val="1DE007AF"/>
    <w:rsid w:val="1DE008F5"/>
    <w:rsid w:val="1DE5046B"/>
    <w:rsid w:val="1E3A343F"/>
    <w:rsid w:val="1E616D7F"/>
    <w:rsid w:val="1E62755C"/>
    <w:rsid w:val="1E8F7C25"/>
    <w:rsid w:val="1E911BEF"/>
    <w:rsid w:val="1E9B21D3"/>
    <w:rsid w:val="1EAE0D55"/>
    <w:rsid w:val="1EE15BD2"/>
    <w:rsid w:val="1EE7180F"/>
    <w:rsid w:val="1F144534"/>
    <w:rsid w:val="1F206259"/>
    <w:rsid w:val="1F3233D2"/>
    <w:rsid w:val="1F672740"/>
    <w:rsid w:val="1F686DF4"/>
    <w:rsid w:val="1FC63B1B"/>
    <w:rsid w:val="1FC6721E"/>
    <w:rsid w:val="20144886"/>
    <w:rsid w:val="20573EE6"/>
    <w:rsid w:val="207574FD"/>
    <w:rsid w:val="208512E0"/>
    <w:rsid w:val="20937EA1"/>
    <w:rsid w:val="20A66477"/>
    <w:rsid w:val="20BA367F"/>
    <w:rsid w:val="20BB73F7"/>
    <w:rsid w:val="20DD3BBF"/>
    <w:rsid w:val="20E92D0F"/>
    <w:rsid w:val="211508B6"/>
    <w:rsid w:val="21224D81"/>
    <w:rsid w:val="213A656E"/>
    <w:rsid w:val="2171537F"/>
    <w:rsid w:val="21894E00"/>
    <w:rsid w:val="219A193B"/>
    <w:rsid w:val="21B052B5"/>
    <w:rsid w:val="21B438F6"/>
    <w:rsid w:val="22031056"/>
    <w:rsid w:val="220F3557"/>
    <w:rsid w:val="22142CD2"/>
    <w:rsid w:val="22297D19"/>
    <w:rsid w:val="22317971"/>
    <w:rsid w:val="22665141"/>
    <w:rsid w:val="227B299A"/>
    <w:rsid w:val="229323DA"/>
    <w:rsid w:val="22D60519"/>
    <w:rsid w:val="231352C9"/>
    <w:rsid w:val="234632C4"/>
    <w:rsid w:val="23977CA8"/>
    <w:rsid w:val="239D1036"/>
    <w:rsid w:val="23B80062"/>
    <w:rsid w:val="23C00F26"/>
    <w:rsid w:val="241C01AD"/>
    <w:rsid w:val="2423778D"/>
    <w:rsid w:val="24485A79"/>
    <w:rsid w:val="248843F2"/>
    <w:rsid w:val="24EF58C2"/>
    <w:rsid w:val="25253091"/>
    <w:rsid w:val="25453733"/>
    <w:rsid w:val="25693C99"/>
    <w:rsid w:val="25781413"/>
    <w:rsid w:val="267C3185"/>
    <w:rsid w:val="26A10E3D"/>
    <w:rsid w:val="26B20955"/>
    <w:rsid w:val="26DF7388"/>
    <w:rsid w:val="275F6D2E"/>
    <w:rsid w:val="276D4665"/>
    <w:rsid w:val="27A44741"/>
    <w:rsid w:val="27B84691"/>
    <w:rsid w:val="281318C7"/>
    <w:rsid w:val="2818512F"/>
    <w:rsid w:val="28616AD6"/>
    <w:rsid w:val="28701A54"/>
    <w:rsid w:val="2895492F"/>
    <w:rsid w:val="294A6240"/>
    <w:rsid w:val="296C5733"/>
    <w:rsid w:val="29780591"/>
    <w:rsid w:val="297F5EFD"/>
    <w:rsid w:val="298C1931"/>
    <w:rsid w:val="29E74DB9"/>
    <w:rsid w:val="29EB5041"/>
    <w:rsid w:val="2A410D4F"/>
    <w:rsid w:val="2A781EB5"/>
    <w:rsid w:val="2AA70110"/>
    <w:rsid w:val="2ABE3492"/>
    <w:rsid w:val="2AC60E73"/>
    <w:rsid w:val="2AC84BEB"/>
    <w:rsid w:val="2ACD0A78"/>
    <w:rsid w:val="2AD1624A"/>
    <w:rsid w:val="2AEC2D35"/>
    <w:rsid w:val="2B0C7293"/>
    <w:rsid w:val="2B1020EE"/>
    <w:rsid w:val="2B312251"/>
    <w:rsid w:val="2B3E30FF"/>
    <w:rsid w:val="2BB37649"/>
    <w:rsid w:val="2BCA04EF"/>
    <w:rsid w:val="2BDD0222"/>
    <w:rsid w:val="2BF8505C"/>
    <w:rsid w:val="2C0559CB"/>
    <w:rsid w:val="2C183950"/>
    <w:rsid w:val="2C22032B"/>
    <w:rsid w:val="2C3849DD"/>
    <w:rsid w:val="2C4209CD"/>
    <w:rsid w:val="2C5F50DB"/>
    <w:rsid w:val="2C762C2C"/>
    <w:rsid w:val="2CD624D9"/>
    <w:rsid w:val="2D951795"/>
    <w:rsid w:val="2DA01E4F"/>
    <w:rsid w:val="2DAA405D"/>
    <w:rsid w:val="2DDA2F27"/>
    <w:rsid w:val="2DE53D06"/>
    <w:rsid w:val="2DF937E3"/>
    <w:rsid w:val="2E536EC1"/>
    <w:rsid w:val="2EA63495"/>
    <w:rsid w:val="2EBC4A66"/>
    <w:rsid w:val="2EC27BA3"/>
    <w:rsid w:val="2EC3704E"/>
    <w:rsid w:val="2ECC12CF"/>
    <w:rsid w:val="2ED4747E"/>
    <w:rsid w:val="2EE171F3"/>
    <w:rsid w:val="2EE95130"/>
    <w:rsid w:val="2F635C21"/>
    <w:rsid w:val="2F754C15"/>
    <w:rsid w:val="2F7B66D0"/>
    <w:rsid w:val="2FD45DE0"/>
    <w:rsid w:val="2FFE5550"/>
    <w:rsid w:val="30330D58"/>
    <w:rsid w:val="30354AD0"/>
    <w:rsid w:val="30442F65"/>
    <w:rsid w:val="30515682"/>
    <w:rsid w:val="309C4B4F"/>
    <w:rsid w:val="30BD4AC6"/>
    <w:rsid w:val="311E0784"/>
    <w:rsid w:val="313B4368"/>
    <w:rsid w:val="31905D36"/>
    <w:rsid w:val="31967CDB"/>
    <w:rsid w:val="31BF54B8"/>
    <w:rsid w:val="31E542D4"/>
    <w:rsid w:val="32171FB4"/>
    <w:rsid w:val="32236BAB"/>
    <w:rsid w:val="32534C09"/>
    <w:rsid w:val="325925CC"/>
    <w:rsid w:val="327B225B"/>
    <w:rsid w:val="32867C08"/>
    <w:rsid w:val="32C4038E"/>
    <w:rsid w:val="32E12CEE"/>
    <w:rsid w:val="330C5891"/>
    <w:rsid w:val="33802506"/>
    <w:rsid w:val="33BC72B7"/>
    <w:rsid w:val="33D22321"/>
    <w:rsid w:val="33F22CD8"/>
    <w:rsid w:val="33F627C9"/>
    <w:rsid w:val="34367069"/>
    <w:rsid w:val="343E5F1E"/>
    <w:rsid w:val="3445105A"/>
    <w:rsid w:val="34572B3B"/>
    <w:rsid w:val="347A51A8"/>
    <w:rsid w:val="348A1163"/>
    <w:rsid w:val="349424E7"/>
    <w:rsid w:val="34AA5361"/>
    <w:rsid w:val="350B5E00"/>
    <w:rsid w:val="351E14F2"/>
    <w:rsid w:val="35CD1307"/>
    <w:rsid w:val="35FB40C6"/>
    <w:rsid w:val="360867E3"/>
    <w:rsid w:val="36252EF1"/>
    <w:rsid w:val="363C034B"/>
    <w:rsid w:val="36455341"/>
    <w:rsid w:val="36546526"/>
    <w:rsid w:val="36CF08FA"/>
    <w:rsid w:val="36DE1BB9"/>
    <w:rsid w:val="36E46146"/>
    <w:rsid w:val="36EC300A"/>
    <w:rsid w:val="37180CA8"/>
    <w:rsid w:val="372E04CB"/>
    <w:rsid w:val="375021F0"/>
    <w:rsid w:val="37604F4F"/>
    <w:rsid w:val="376E6B1A"/>
    <w:rsid w:val="3773031F"/>
    <w:rsid w:val="37753A04"/>
    <w:rsid w:val="3785702A"/>
    <w:rsid w:val="37EC6BDD"/>
    <w:rsid w:val="38196A86"/>
    <w:rsid w:val="381C47C8"/>
    <w:rsid w:val="38414FE9"/>
    <w:rsid w:val="38877E93"/>
    <w:rsid w:val="393D67A4"/>
    <w:rsid w:val="39552AD9"/>
    <w:rsid w:val="39755F3E"/>
    <w:rsid w:val="39A86313"/>
    <w:rsid w:val="39AB4187"/>
    <w:rsid w:val="39F350B4"/>
    <w:rsid w:val="3A0177D1"/>
    <w:rsid w:val="3A163BCF"/>
    <w:rsid w:val="3A83468A"/>
    <w:rsid w:val="3AB816E4"/>
    <w:rsid w:val="3AE01DFE"/>
    <w:rsid w:val="3B2A2C59"/>
    <w:rsid w:val="3B381919"/>
    <w:rsid w:val="3B4A33FA"/>
    <w:rsid w:val="3B5838C6"/>
    <w:rsid w:val="3B8227AD"/>
    <w:rsid w:val="3B984165"/>
    <w:rsid w:val="3BA42B0A"/>
    <w:rsid w:val="3BB224BC"/>
    <w:rsid w:val="3BBC7E20"/>
    <w:rsid w:val="3C2679C3"/>
    <w:rsid w:val="3C320116"/>
    <w:rsid w:val="3C5067EE"/>
    <w:rsid w:val="3C9450C1"/>
    <w:rsid w:val="3CFC24D2"/>
    <w:rsid w:val="3D037D04"/>
    <w:rsid w:val="3D7824A2"/>
    <w:rsid w:val="3DC06139"/>
    <w:rsid w:val="3DCB6A74"/>
    <w:rsid w:val="3DD441F1"/>
    <w:rsid w:val="3DDC47DD"/>
    <w:rsid w:val="3DFF08E6"/>
    <w:rsid w:val="3E29151C"/>
    <w:rsid w:val="3E35213F"/>
    <w:rsid w:val="3E4707A5"/>
    <w:rsid w:val="3E55385B"/>
    <w:rsid w:val="3E5D18BF"/>
    <w:rsid w:val="3E9A5F18"/>
    <w:rsid w:val="3E9F580B"/>
    <w:rsid w:val="3EB96290"/>
    <w:rsid w:val="3EBF1A09"/>
    <w:rsid w:val="3EC84D62"/>
    <w:rsid w:val="3EDF3E59"/>
    <w:rsid w:val="3EF02B96"/>
    <w:rsid w:val="3F073ADC"/>
    <w:rsid w:val="3F685210"/>
    <w:rsid w:val="3FA83571"/>
    <w:rsid w:val="3FE45BCB"/>
    <w:rsid w:val="3FE47979"/>
    <w:rsid w:val="40114F7B"/>
    <w:rsid w:val="407C03C3"/>
    <w:rsid w:val="40AA0BC3"/>
    <w:rsid w:val="40E908EB"/>
    <w:rsid w:val="413466DE"/>
    <w:rsid w:val="413C41DC"/>
    <w:rsid w:val="414C7ECC"/>
    <w:rsid w:val="41F10CC3"/>
    <w:rsid w:val="42206754"/>
    <w:rsid w:val="422420A8"/>
    <w:rsid w:val="42251B87"/>
    <w:rsid w:val="42415557"/>
    <w:rsid w:val="424741EF"/>
    <w:rsid w:val="428A24E6"/>
    <w:rsid w:val="42B862FA"/>
    <w:rsid w:val="42EF7B9C"/>
    <w:rsid w:val="430976F7"/>
    <w:rsid w:val="430F11B1"/>
    <w:rsid w:val="43243B6C"/>
    <w:rsid w:val="43A60E53"/>
    <w:rsid w:val="43F54889"/>
    <w:rsid w:val="441D78FE"/>
    <w:rsid w:val="442809F7"/>
    <w:rsid w:val="4462631A"/>
    <w:rsid w:val="446C43E1"/>
    <w:rsid w:val="44C47D79"/>
    <w:rsid w:val="44F54A53"/>
    <w:rsid w:val="4517259F"/>
    <w:rsid w:val="453413AE"/>
    <w:rsid w:val="45356EC9"/>
    <w:rsid w:val="453942C3"/>
    <w:rsid w:val="454A1AA6"/>
    <w:rsid w:val="457D2411"/>
    <w:rsid w:val="45857AB1"/>
    <w:rsid w:val="45B46040"/>
    <w:rsid w:val="45B73452"/>
    <w:rsid w:val="45D97854"/>
    <w:rsid w:val="45F823D0"/>
    <w:rsid w:val="460C7C2A"/>
    <w:rsid w:val="461427EB"/>
    <w:rsid w:val="461E170B"/>
    <w:rsid w:val="46206B1E"/>
    <w:rsid w:val="46A165C4"/>
    <w:rsid w:val="46A74A14"/>
    <w:rsid w:val="46BA7686"/>
    <w:rsid w:val="46D83FB0"/>
    <w:rsid w:val="47040901"/>
    <w:rsid w:val="474E7DCE"/>
    <w:rsid w:val="475F1FDB"/>
    <w:rsid w:val="476B107F"/>
    <w:rsid w:val="47717931"/>
    <w:rsid w:val="47A53E92"/>
    <w:rsid w:val="47F95F8C"/>
    <w:rsid w:val="485102BC"/>
    <w:rsid w:val="485A284D"/>
    <w:rsid w:val="487A1176"/>
    <w:rsid w:val="48981C49"/>
    <w:rsid w:val="48B00939"/>
    <w:rsid w:val="48D10CB7"/>
    <w:rsid w:val="48DB5F40"/>
    <w:rsid w:val="490A38A3"/>
    <w:rsid w:val="49285595"/>
    <w:rsid w:val="49423962"/>
    <w:rsid w:val="49892771"/>
    <w:rsid w:val="49920F10"/>
    <w:rsid w:val="49B303BC"/>
    <w:rsid w:val="49CE142B"/>
    <w:rsid w:val="49F51014"/>
    <w:rsid w:val="4A2C3F1D"/>
    <w:rsid w:val="4A845101"/>
    <w:rsid w:val="4A8B21F5"/>
    <w:rsid w:val="4AD93E52"/>
    <w:rsid w:val="4AE051E1"/>
    <w:rsid w:val="4B0F7F8F"/>
    <w:rsid w:val="4B3F55DF"/>
    <w:rsid w:val="4B4B2FA2"/>
    <w:rsid w:val="4B6776B0"/>
    <w:rsid w:val="4C0A4C0B"/>
    <w:rsid w:val="4C101AF6"/>
    <w:rsid w:val="4C2D0C2F"/>
    <w:rsid w:val="4C5D11DF"/>
    <w:rsid w:val="4CCA6900"/>
    <w:rsid w:val="4CF3569F"/>
    <w:rsid w:val="4CFA3536"/>
    <w:rsid w:val="4D091A42"/>
    <w:rsid w:val="4D0C050F"/>
    <w:rsid w:val="4D1A10FE"/>
    <w:rsid w:val="4D396A73"/>
    <w:rsid w:val="4D6172F1"/>
    <w:rsid w:val="4D722A68"/>
    <w:rsid w:val="4D9F7BB9"/>
    <w:rsid w:val="4DA60964"/>
    <w:rsid w:val="4DBC1F35"/>
    <w:rsid w:val="4DFA480C"/>
    <w:rsid w:val="4DFA6658"/>
    <w:rsid w:val="4DFB01D4"/>
    <w:rsid w:val="4E0D2791"/>
    <w:rsid w:val="4E1842B0"/>
    <w:rsid w:val="4E656B56"/>
    <w:rsid w:val="4E8B1908"/>
    <w:rsid w:val="4E9133C2"/>
    <w:rsid w:val="4EB8358F"/>
    <w:rsid w:val="4EC866B8"/>
    <w:rsid w:val="4EDD1881"/>
    <w:rsid w:val="4F4641AC"/>
    <w:rsid w:val="4F597E35"/>
    <w:rsid w:val="4F9111A0"/>
    <w:rsid w:val="4FAB13D6"/>
    <w:rsid w:val="4FB01626"/>
    <w:rsid w:val="4FD17574"/>
    <w:rsid w:val="4FF27E90"/>
    <w:rsid w:val="50026E59"/>
    <w:rsid w:val="501778F7"/>
    <w:rsid w:val="502C2D69"/>
    <w:rsid w:val="50417FD3"/>
    <w:rsid w:val="506B19F1"/>
    <w:rsid w:val="50A9586A"/>
    <w:rsid w:val="50B9275C"/>
    <w:rsid w:val="50C23D07"/>
    <w:rsid w:val="50CC1C98"/>
    <w:rsid w:val="50D13F9A"/>
    <w:rsid w:val="52195BA8"/>
    <w:rsid w:val="522C72C3"/>
    <w:rsid w:val="524B3888"/>
    <w:rsid w:val="52595776"/>
    <w:rsid w:val="52844FED"/>
    <w:rsid w:val="52BA1E1B"/>
    <w:rsid w:val="52CA07B0"/>
    <w:rsid w:val="52CF44B9"/>
    <w:rsid w:val="52D702C1"/>
    <w:rsid w:val="52F061DD"/>
    <w:rsid w:val="53205058"/>
    <w:rsid w:val="532C03F7"/>
    <w:rsid w:val="534445FC"/>
    <w:rsid w:val="534C78B7"/>
    <w:rsid w:val="534E1882"/>
    <w:rsid w:val="538709E1"/>
    <w:rsid w:val="539E5268"/>
    <w:rsid w:val="53BA0BD7"/>
    <w:rsid w:val="53F17173"/>
    <w:rsid w:val="543F11CA"/>
    <w:rsid w:val="54496F21"/>
    <w:rsid w:val="545F7ABE"/>
    <w:rsid w:val="5463135D"/>
    <w:rsid w:val="54644104"/>
    <w:rsid w:val="54B73456"/>
    <w:rsid w:val="54BD58ED"/>
    <w:rsid w:val="54C42BE8"/>
    <w:rsid w:val="54E3249D"/>
    <w:rsid w:val="54EF2BF0"/>
    <w:rsid w:val="5520724E"/>
    <w:rsid w:val="5529453F"/>
    <w:rsid w:val="552A00CC"/>
    <w:rsid w:val="55716FEC"/>
    <w:rsid w:val="559334FE"/>
    <w:rsid w:val="55FB55C5"/>
    <w:rsid w:val="56000893"/>
    <w:rsid w:val="562B40FC"/>
    <w:rsid w:val="562C1EBD"/>
    <w:rsid w:val="562E599A"/>
    <w:rsid w:val="56B0015D"/>
    <w:rsid w:val="56B063AF"/>
    <w:rsid w:val="56CC3A96"/>
    <w:rsid w:val="56CD3B62"/>
    <w:rsid w:val="56D70570"/>
    <w:rsid w:val="56DF6C95"/>
    <w:rsid w:val="570A6AA8"/>
    <w:rsid w:val="574803C1"/>
    <w:rsid w:val="57776ECD"/>
    <w:rsid w:val="577E46FF"/>
    <w:rsid w:val="57B679F5"/>
    <w:rsid w:val="582D0E61"/>
    <w:rsid w:val="58337298"/>
    <w:rsid w:val="58A65CBC"/>
    <w:rsid w:val="58E40592"/>
    <w:rsid w:val="58EC3CC6"/>
    <w:rsid w:val="59115444"/>
    <w:rsid w:val="59154BEF"/>
    <w:rsid w:val="5952374E"/>
    <w:rsid w:val="59526FF3"/>
    <w:rsid w:val="597610C2"/>
    <w:rsid w:val="597D4C6F"/>
    <w:rsid w:val="59F760A3"/>
    <w:rsid w:val="5A186745"/>
    <w:rsid w:val="5A355C07"/>
    <w:rsid w:val="5A81253D"/>
    <w:rsid w:val="5ABD72ED"/>
    <w:rsid w:val="5AC32B55"/>
    <w:rsid w:val="5AC62645"/>
    <w:rsid w:val="5ACA3A04"/>
    <w:rsid w:val="5AF744DA"/>
    <w:rsid w:val="5B1D1191"/>
    <w:rsid w:val="5B411CCC"/>
    <w:rsid w:val="5B48305A"/>
    <w:rsid w:val="5B6A2FD1"/>
    <w:rsid w:val="5B8B1CAF"/>
    <w:rsid w:val="5BC00194"/>
    <w:rsid w:val="5BDD7C46"/>
    <w:rsid w:val="5BED59B0"/>
    <w:rsid w:val="5C38447A"/>
    <w:rsid w:val="5C6519EA"/>
    <w:rsid w:val="5C8F0757"/>
    <w:rsid w:val="5C9D3A02"/>
    <w:rsid w:val="5CAB38A1"/>
    <w:rsid w:val="5CC826A5"/>
    <w:rsid w:val="5CF43BDE"/>
    <w:rsid w:val="5D131446"/>
    <w:rsid w:val="5D3C6BEF"/>
    <w:rsid w:val="5D7E7207"/>
    <w:rsid w:val="5DC170F4"/>
    <w:rsid w:val="5DFE20F6"/>
    <w:rsid w:val="5E0A0A9B"/>
    <w:rsid w:val="5E0A7B99"/>
    <w:rsid w:val="5E447901"/>
    <w:rsid w:val="5E51626C"/>
    <w:rsid w:val="5E966EBF"/>
    <w:rsid w:val="5E993BCD"/>
    <w:rsid w:val="5EA92062"/>
    <w:rsid w:val="5EB72A3D"/>
    <w:rsid w:val="5EF52F7B"/>
    <w:rsid w:val="5F0B4ACB"/>
    <w:rsid w:val="5F132D32"/>
    <w:rsid w:val="5F4C0C3F"/>
    <w:rsid w:val="5F4C0FE6"/>
    <w:rsid w:val="5F622211"/>
    <w:rsid w:val="5F69359F"/>
    <w:rsid w:val="5F903222"/>
    <w:rsid w:val="5FAB005C"/>
    <w:rsid w:val="5FB011CE"/>
    <w:rsid w:val="5FD3008D"/>
    <w:rsid w:val="5FED41D0"/>
    <w:rsid w:val="601E25DC"/>
    <w:rsid w:val="603C6A69"/>
    <w:rsid w:val="60AF1486"/>
    <w:rsid w:val="60B75F8F"/>
    <w:rsid w:val="611D2DF6"/>
    <w:rsid w:val="618172C6"/>
    <w:rsid w:val="618C3C33"/>
    <w:rsid w:val="62210161"/>
    <w:rsid w:val="6250434C"/>
    <w:rsid w:val="62C567ED"/>
    <w:rsid w:val="62F45876"/>
    <w:rsid w:val="634619AE"/>
    <w:rsid w:val="635A392B"/>
    <w:rsid w:val="637846F9"/>
    <w:rsid w:val="637E5ADD"/>
    <w:rsid w:val="638D7608"/>
    <w:rsid w:val="63D062E3"/>
    <w:rsid w:val="63E61662"/>
    <w:rsid w:val="63E658BC"/>
    <w:rsid w:val="643D5D0E"/>
    <w:rsid w:val="646A2293"/>
    <w:rsid w:val="646C19F5"/>
    <w:rsid w:val="64A21A2D"/>
    <w:rsid w:val="64B27796"/>
    <w:rsid w:val="651B358E"/>
    <w:rsid w:val="6533183C"/>
    <w:rsid w:val="656F032C"/>
    <w:rsid w:val="65910304"/>
    <w:rsid w:val="659E5E1D"/>
    <w:rsid w:val="65AE4492"/>
    <w:rsid w:val="65B0017A"/>
    <w:rsid w:val="65DF6900"/>
    <w:rsid w:val="65EA0073"/>
    <w:rsid w:val="6605058E"/>
    <w:rsid w:val="66664CDC"/>
    <w:rsid w:val="66882EA5"/>
    <w:rsid w:val="669E200B"/>
    <w:rsid w:val="66D90DB5"/>
    <w:rsid w:val="66ED0F5A"/>
    <w:rsid w:val="6704453E"/>
    <w:rsid w:val="67064295"/>
    <w:rsid w:val="67267E8B"/>
    <w:rsid w:val="67902011"/>
    <w:rsid w:val="6791440D"/>
    <w:rsid w:val="67A27F96"/>
    <w:rsid w:val="67BD1386"/>
    <w:rsid w:val="68210B19"/>
    <w:rsid w:val="686B0388"/>
    <w:rsid w:val="688746A7"/>
    <w:rsid w:val="689B59A1"/>
    <w:rsid w:val="68A46899"/>
    <w:rsid w:val="68E44108"/>
    <w:rsid w:val="68EE2E29"/>
    <w:rsid w:val="68F32D76"/>
    <w:rsid w:val="69034E54"/>
    <w:rsid w:val="690E2460"/>
    <w:rsid w:val="69676DA1"/>
    <w:rsid w:val="69A44DCE"/>
    <w:rsid w:val="69BD2E65"/>
    <w:rsid w:val="69C97A5C"/>
    <w:rsid w:val="69D63CA9"/>
    <w:rsid w:val="69D65CD5"/>
    <w:rsid w:val="6A0025C8"/>
    <w:rsid w:val="6A1567FD"/>
    <w:rsid w:val="6A3363C3"/>
    <w:rsid w:val="6A52507D"/>
    <w:rsid w:val="6A7A6FA8"/>
    <w:rsid w:val="6AA67D9D"/>
    <w:rsid w:val="6AF764BE"/>
    <w:rsid w:val="6B4A697B"/>
    <w:rsid w:val="6B5B0B88"/>
    <w:rsid w:val="6B713F07"/>
    <w:rsid w:val="6B8071BE"/>
    <w:rsid w:val="6B9E1494"/>
    <w:rsid w:val="6BB42046"/>
    <w:rsid w:val="6BC54253"/>
    <w:rsid w:val="6C474C68"/>
    <w:rsid w:val="6C5A4091"/>
    <w:rsid w:val="6C5D56EC"/>
    <w:rsid w:val="6C922B0F"/>
    <w:rsid w:val="6CB31830"/>
    <w:rsid w:val="6D056FFD"/>
    <w:rsid w:val="6D237483"/>
    <w:rsid w:val="6D3E12E0"/>
    <w:rsid w:val="6D4D45DB"/>
    <w:rsid w:val="6DD16EDF"/>
    <w:rsid w:val="6DD644F6"/>
    <w:rsid w:val="6DDA2238"/>
    <w:rsid w:val="6DDD5884"/>
    <w:rsid w:val="6DF7474A"/>
    <w:rsid w:val="6DF8446C"/>
    <w:rsid w:val="6DFA1AA7"/>
    <w:rsid w:val="6E1C2409"/>
    <w:rsid w:val="6EBA7973"/>
    <w:rsid w:val="6ECD1F14"/>
    <w:rsid w:val="6ED13AB0"/>
    <w:rsid w:val="6ED47835"/>
    <w:rsid w:val="6EE90259"/>
    <w:rsid w:val="6EF773B9"/>
    <w:rsid w:val="6F0F4163"/>
    <w:rsid w:val="6F213E96"/>
    <w:rsid w:val="6F2D283B"/>
    <w:rsid w:val="6F2E3EBD"/>
    <w:rsid w:val="6F6B45C2"/>
    <w:rsid w:val="6F8B1310"/>
    <w:rsid w:val="6F934B39"/>
    <w:rsid w:val="6FC00FB9"/>
    <w:rsid w:val="6FC50CC6"/>
    <w:rsid w:val="6FD0527E"/>
    <w:rsid w:val="70187047"/>
    <w:rsid w:val="705A7660"/>
    <w:rsid w:val="709C7F0B"/>
    <w:rsid w:val="709F441D"/>
    <w:rsid w:val="70CB2F25"/>
    <w:rsid w:val="70E178AF"/>
    <w:rsid w:val="70E909E4"/>
    <w:rsid w:val="70F80A04"/>
    <w:rsid w:val="7104581E"/>
    <w:rsid w:val="71306A35"/>
    <w:rsid w:val="713779A1"/>
    <w:rsid w:val="713E6586"/>
    <w:rsid w:val="71481A14"/>
    <w:rsid w:val="71641E18"/>
    <w:rsid w:val="7169742F"/>
    <w:rsid w:val="71DF79D6"/>
    <w:rsid w:val="71E847F7"/>
    <w:rsid w:val="72076452"/>
    <w:rsid w:val="723F4D5F"/>
    <w:rsid w:val="72425E92"/>
    <w:rsid w:val="72800ED4"/>
    <w:rsid w:val="73334198"/>
    <w:rsid w:val="73504D4A"/>
    <w:rsid w:val="735760D9"/>
    <w:rsid w:val="738337DA"/>
    <w:rsid w:val="739015EB"/>
    <w:rsid w:val="73926314"/>
    <w:rsid w:val="73C03C7E"/>
    <w:rsid w:val="73D8658C"/>
    <w:rsid w:val="74345C0A"/>
    <w:rsid w:val="746A5998"/>
    <w:rsid w:val="74B547F1"/>
    <w:rsid w:val="74B66E2F"/>
    <w:rsid w:val="750C6A4F"/>
    <w:rsid w:val="752E4C17"/>
    <w:rsid w:val="75437F6D"/>
    <w:rsid w:val="75720710"/>
    <w:rsid w:val="75B10B57"/>
    <w:rsid w:val="75B97E9E"/>
    <w:rsid w:val="760C31AA"/>
    <w:rsid w:val="764947C4"/>
    <w:rsid w:val="765468FF"/>
    <w:rsid w:val="767D7C04"/>
    <w:rsid w:val="770C71DA"/>
    <w:rsid w:val="77211DBD"/>
    <w:rsid w:val="777639BC"/>
    <w:rsid w:val="77BA4E88"/>
    <w:rsid w:val="77CF1D1D"/>
    <w:rsid w:val="782A3DBC"/>
    <w:rsid w:val="78352220"/>
    <w:rsid w:val="78857244"/>
    <w:rsid w:val="7892370F"/>
    <w:rsid w:val="78A82F32"/>
    <w:rsid w:val="78BC058F"/>
    <w:rsid w:val="78DD58AF"/>
    <w:rsid w:val="78E44270"/>
    <w:rsid w:val="79186D40"/>
    <w:rsid w:val="791E7E8F"/>
    <w:rsid w:val="79464C25"/>
    <w:rsid w:val="79811D6F"/>
    <w:rsid w:val="79892D64"/>
    <w:rsid w:val="7A80019C"/>
    <w:rsid w:val="7AA4275F"/>
    <w:rsid w:val="7AC96BBD"/>
    <w:rsid w:val="7AEE3276"/>
    <w:rsid w:val="7AFE4883"/>
    <w:rsid w:val="7B175968"/>
    <w:rsid w:val="7B2C0C07"/>
    <w:rsid w:val="7B2C3F20"/>
    <w:rsid w:val="7B5C2867"/>
    <w:rsid w:val="7B62386D"/>
    <w:rsid w:val="7B6273C9"/>
    <w:rsid w:val="7B8B0EEA"/>
    <w:rsid w:val="7B9A3006"/>
    <w:rsid w:val="7CA37C99"/>
    <w:rsid w:val="7CF90201"/>
    <w:rsid w:val="7D016B7E"/>
    <w:rsid w:val="7D0229A5"/>
    <w:rsid w:val="7D3E5C13"/>
    <w:rsid w:val="7D9E6299"/>
    <w:rsid w:val="7DEC566F"/>
    <w:rsid w:val="7DEE7639"/>
    <w:rsid w:val="7E070777"/>
    <w:rsid w:val="7E2D0162"/>
    <w:rsid w:val="7E347499"/>
    <w:rsid w:val="7E725B75"/>
    <w:rsid w:val="7E90249F"/>
    <w:rsid w:val="7F381B07"/>
    <w:rsid w:val="7F412B74"/>
    <w:rsid w:val="7F7B314F"/>
    <w:rsid w:val="7F9F508F"/>
    <w:rsid w:val="7FB87E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9">
    <w:name w:val="heading 1"/>
    <w:basedOn w:val="1"/>
    <w:next w:val="1"/>
    <w:link w:val="58"/>
    <w:qFormat/>
    <w:uiPriority w:val="99"/>
    <w:pPr>
      <w:keepNext/>
      <w:keepLines/>
      <w:spacing w:line="600" w:lineRule="auto"/>
      <w:jc w:val="center"/>
      <w:outlineLvl w:val="0"/>
    </w:pPr>
    <w:rPr>
      <w:b/>
      <w:bCs/>
      <w:kern w:val="44"/>
      <w:sz w:val="32"/>
      <w:szCs w:val="32"/>
    </w:rPr>
  </w:style>
  <w:style w:type="paragraph" w:styleId="10">
    <w:name w:val="heading 2"/>
    <w:basedOn w:val="1"/>
    <w:next w:val="1"/>
    <w:link w:val="59"/>
    <w:qFormat/>
    <w:uiPriority w:val="99"/>
    <w:pPr>
      <w:keepNext/>
      <w:keepLines/>
      <w:spacing w:line="480" w:lineRule="auto"/>
      <w:jc w:val="left"/>
      <w:outlineLvl w:val="1"/>
    </w:pPr>
    <w:rPr>
      <w:b/>
      <w:bCs/>
      <w:sz w:val="28"/>
      <w:szCs w:val="28"/>
    </w:rPr>
  </w:style>
  <w:style w:type="paragraph" w:styleId="11">
    <w:name w:val="heading 3"/>
    <w:basedOn w:val="1"/>
    <w:next w:val="1"/>
    <w:link w:val="60"/>
    <w:qFormat/>
    <w:uiPriority w:val="99"/>
    <w:pPr>
      <w:keepNext/>
      <w:keepLines/>
      <w:spacing w:line="360" w:lineRule="auto"/>
      <w:outlineLvl w:val="2"/>
    </w:pPr>
    <w:rPr>
      <w:b/>
      <w:bCs/>
      <w:sz w:val="24"/>
      <w:szCs w:val="24"/>
    </w:rPr>
  </w:style>
  <w:style w:type="paragraph" w:styleId="12">
    <w:name w:val="heading 4"/>
    <w:basedOn w:val="1"/>
    <w:next w:val="1"/>
    <w:link w:val="61"/>
    <w:qFormat/>
    <w:uiPriority w:val="99"/>
    <w:pPr>
      <w:keepNext/>
      <w:keepLines/>
      <w:spacing w:before="280" w:after="290" w:line="376" w:lineRule="auto"/>
      <w:outlineLvl w:val="3"/>
    </w:pPr>
    <w:rPr>
      <w:rFonts w:ascii="Arial" w:hAnsi="Arial" w:eastAsia="黑体" w:cs="Arial"/>
      <w:b/>
      <w:bCs/>
      <w:sz w:val="28"/>
      <w:szCs w:val="28"/>
    </w:rPr>
  </w:style>
  <w:style w:type="paragraph" w:styleId="13">
    <w:name w:val="heading 5"/>
    <w:basedOn w:val="1"/>
    <w:next w:val="1"/>
    <w:link w:val="62"/>
    <w:qFormat/>
    <w:uiPriority w:val="99"/>
    <w:pPr>
      <w:keepNext/>
      <w:keepLines/>
      <w:spacing w:before="280" w:after="290" w:line="376" w:lineRule="auto"/>
      <w:outlineLvl w:val="4"/>
    </w:pPr>
    <w:rPr>
      <w:b/>
      <w:bCs/>
      <w:sz w:val="28"/>
      <w:szCs w:val="28"/>
    </w:rPr>
  </w:style>
  <w:style w:type="paragraph" w:styleId="14">
    <w:name w:val="heading 6"/>
    <w:basedOn w:val="1"/>
    <w:next w:val="1"/>
    <w:link w:val="63"/>
    <w:qFormat/>
    <w:uiPriority w:val="99"/>
    <w:pPr>
      <w:keepNext/>
      <w:keepLines/>
      <w:spacing w:before="240" w:after="64" w:line="320" w:lineRule="auto"/>
      <w:outlineLvl w:val="5"/>
    </w:pPr>
    <w:rPr>
      <w:rFonts w:ascii="Arial" w:hAnsi="Arial" w:eastAsia="黑体" w:cs="Arial"/>
      <w:b/>
      <w:bCs/>
      <w:sz w:val="24"/>
      <w:szCs w:val="24"/>
    </w:rPr>
  </w:style>
  <w:style w:type="paragraph" w:styleId="15">
    <w:name w:val="heading 7"/>
    <w:basedOn w:val="1"/>
    <w:next w:val="1"/>
    <w:link w:val="64"/>
    <w:qFormat/>
    <w:uiPriority w:val="99"/>
    <w:pPr>
      <w:keepNext/>
      <w:keepLines/>
      <w:spacing w:before="240" w:after="64" w:line="320" w:lineRule="auto"/>
      <w:outlineLvl w:val="6"/>
    </w:pPr>
    <w:rPr>
      <w:b/>
      <w:bCs/>
      <w:sz w:val="24"/>
      <w:szCs w:val="24"/>
    </w:rPr>
  </w:style>
  <w:style w:type="paragraph" w:styleId="16">
    <w:name w:val="heading 8"/>
    <w:basedOn w:val="1"/>
    <w:next w:val="1"/>
    <w:link w:val="65"/>
    <w:qFormat/>
    <w:uiPriority w:val="99"/>
    <w:pPr>
      <w:keepNext/>
      <w:keepLines/>
      <w:spacing w:before="240" w:after="64" w:line="320" w:lineRule="auto"/>
      <w:outlineLvl w:val="7"/>
    </w:pPr>
    <w:rPr>
      <w:rFonts w:ascii="Arial" w:hAnsi="Arial" w:eastAsia="黑体" w:cs="Arial"/>
      <w:sz w:val="24"/>
      <w:szCs w:val="24"/>
    </w:rPr>
  </w:style>
  <w:style w:type="paragraph" w:styleId="17">
    <w:name w:val="heading 9"/>
    <w:basedOn w:val="1"/>
    <w:next w:val="1"/>
    <w:link w:val="66"/>
    <w:qFormat/>
    <w:uiPriority w:val="99"/>
    <w:pPr>
      <w:keepNext/>
      <w:keepLines/>
      <w:spacing w:before="240" w:after="64" w:line="320" w:lineRule="auto"/>
      <w:outlineLvl w:val="8"/>
    </w:pPr>
    <w:rPr>
      <w:rFonts w:ascii="Arial" w:hAnsi="Arial" w:eastAsia="黑体" w:cs="Arial"/>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57"/>
    <w:unhideWhenUsed/>
    <w:qFormat/>
    <w:uiPriority w:val="99"/>
    <w:pPr>
      <w:ind w:firstLine="420" w:firstLineChars="200"/>
    </w:pPr>
    <w:rPr>
      <w:szCs w:val="24"/>
    </w:rPr>
  </w:style>
  <w:style w:type="paragraph" w:styleId="3">
    <w:name w:val="Body Text Indent"/>
    <w:basedOn w:val="1"/>
    <w:next w:val="4"/>
    <w:link w:val="56"/>
    <w:unhideWhenUsed/>
    <w:qFormat/>
    <w:uiPriority w:val="99"/>
    <w:pPr>
      <w:spacing w:after="120"/>
      <w:ind w:left="420" w:leftChars="200"/>
    </w:pPr>
  </w:style>
  <w:style w:type="paragraph" w:customStyle="1" w:styleId="4">
    <w:name w:val="样式 正文文本缩进 + 行距: 1.5 倍行距"/>
    <w:basedOn w:val="5"/>
    <w:next w:val="6"/>
    <w:qFormat/>
    <w:uiPriority w:val="0"/>
    <w:pPr>
      <w:spacing w:line="360" w:lineRule="auto"/>
      <w:ind w:left="90" w:leftChars="32" w:firstLine="560" w:firstLineChars="200"/>
    </w:pPr>
    <w:rPr>
      <w:rFonts w:cs="宋体"/>
    </w:rPr>
  </w:style>
  <w:style w:type="paragraph" w:customStyle="1" w:styleId="5">
    <w:name w:val="正文文本缩进1"/>
    <w:basedOn w:val="1"/>
    <w:next w:val="4"/>
    <w:qFormat/>
    <w:uiPriority w:val="0"/>
    <w:pPr>
      <w:spacing w:after="120"/>
      <w:ind w:left="420" w:leftChars="200"/>
    </w:pPr>
    <w:rPr>
      <w:sz w:val="24"/>
    </w:rPr>
  </w:style>
  <w:style w:type="paragraph" w:styleId="6">
    <w:name w:val="header"/>
    <w:basedOn w:val="1"/>
    <w:next w:val="7"/>
    <w:link w:val="67"/>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7">
    <w:name w:val="样式5"/>
    <w:basedOn w:val="8"/>
    <w:qFormat/>
    <w:uiPriority w:val="0"/>
    <w:pPr>
      <w:tabs>
        <w:tab w:val="left" w:pos="567"/>
      </w:tabs>
      <w:ind w:right="-105" w:rightChars="-50"/>
    </w:pPr>
    <w:rPr>
      <w:rFonts w:ascii="宋体" w:cs="宋体"/>
    </w:rPr>
  </w:style>
  <w:style w:type="paragraph" w:customStyle="1" w:styleId="8">
    <w:name w:val="正文1"/>
    <w:basedOn w:val="1"/>
    <w:next w:val="1"/>
    <w:qFormat/>
    <w:uiPriority w:val="0"/>
    <w:pPr>
      <w:tabs>
        <w:tab w:val="left" w:pos="567"/>
      </w:tabs>
      <w:adjustRightInd w:val="0"/>
      <w:spacing w:line="396" w:lineRule="atLeast"/>
      <w:jc w:val="center"/>
      <w:textAlignment w:val="baseline"/>
    </w:pPr>
  </w:style>
  <w:style w:type="paragraph" w:styleId="18">
    <w:name w:val="toc 7"/>
    <w:basedOn w:val="1"/>
    <w:next w:val="1"/>
    <w:unhideWhenUsed/>
    <w:qFormat/>
    <w:uiPriority w:val="39"/>
    <w:pPr>
      <w:ind w:left="2520" w:leftChars="1200"/>
    </w:pPr>
    <w:rPr>
      <w:rFonts w:ascii="Calibri" w:hAnsi="Calibri"/>
      <w:szCs w:val="22"/>
    </w:rPr>
  </w:style>
  <w:style w:type="paragraph" w:styleId="19">
    <w:name w:val="Normal Indent"/>
    <w:basedOn w:val="1"/>
    <w:next w:val="20"/>
    <w:link w:val="73"/>
    <w:qFormat/>
    <w:uiPriority w:val="0"/>
    <w:pPr>
      <w:ind w:firstLine="420" w:firstLineChars="200"/>
    </w:pPr>
  </w:style>
  <w:style w:type="paragraph" w:styleId="20">
    <w:name w:val="Balloon Text"/>
    <w:basedOn w:val="1"/>
    <w:link w:val="77"/>
    <w:semiHidden/>
    <w:qFormat/>
    <w:uiPriority w:val="99"/>
    <w:rPr>
      <w:sz w:val="18"/>
      <w:szCs w:val="18"/>
    </w:rPr>
  </w:style>
  <w:style w:type="paragraph" w:styleId="21">
    <w:name w:val="Document Map"/>
    <w:basedOn w:val="1"/>
    <w:link w:val="74"/>
    <w:semiHidden/>
    <w:qFormat/>
    <w:uiPriority w:val="99"/>
    <w:rPr>
      <w:rFonts w:ascii="宋体" w:cs="宋体"/>
      <w:sz w:val="18"/>
      <w:szCs w:val="18"/>
    </w:rPr>
  </w:style>
  <w:style w:type="paragraph" w:styleId="22">
    <w:name w:val="annotation text"/>
    <w:basedOn w:val="1"/>
    <w:link w:val="69"/>
    <w:unhideWhenUsed/>
    <w:qFormat/>
    <w:uiPriority w:val="0"/>
    <w:pPr>
      <w:jc w:val="left"/>
    </w:pPr>
  </w:style>
  <w:style w:type="paragraph" w:styleId="23">
    <w:name w:val="Body Text"/>
    <w:basedOn w:val="1"/>
    <w:link w:val="71"/>
    <w:unhideWhenUsed/>
    <w:qFormat/>
    <w:uiPriority w:val="99"/>
    <w:pPr>
      <w:spacing w:after="120"/>
    </w:pPr>
  </w:style>
  <w:style w:type="paragraph" w:styleId="24">
    <w:name w:val="toc 5"/>
    <w:basedOn w:val="1"/>
    <w:next w:val="1"/>
    <w:unhideWhenUsed/>
    <w:qFormat/>
    <w:uiPriority w:val="39"/>
    <w:pPr>
      <w:ind w:left="1680" w:leftChars="800"/>
    </w:pPr>
    <w:rPr>
      <w:rFonts w:ascii="Calibri" w:hAnsi="Calibri"/>
      <w:szCs w:val="22"/>
    </w:rPr>
  </w:style>
  <w:style w:type="paragraph" w:styleId="25">
    <w:name w:val="toc 3"/>
    <w:basedOn w:val="1"/>
    <w:next w:val="1"/>
    <w:qFormat/>
    <w:uiPriority w:val="39"/>
    <w:pPr>
      <w:ind w:left="840" w:leftChars="400"/>
    </w:pPr>
  </w:style>
  <w:style w:type="paragraph" w:styleId="26">
    <w:name w:val="Plain Text"/>
    <w:basedOn w:val="1"/>
    <w:link w:val="75"/>
    <w:qFormat/>
    <w:uiPriority w:val="99"/>
    <w:rPr>
      <w:rFonts w:ascii="宋体" w:hAnsi="Courier New" w:cs="宋体"/>
      <w:kern w:val="0"/>
      <w:sz w:val="20"/>
      <w:szCs w:val="20"/>
    </w:rPr>
  </w:style>
  <w:style w:type="paragraph" w:styleId="27">
    <w:name w:val="toc 8"/>
    <w:basedOn w:val="1"/>
    <w:next w:val="1"/>
    <w:unhideWhenUsed/>
    <w:qFormat/>
    <w:uiPriority w:val="39"/>
    <w:pPr>
      <w:ind w:left="2940" w:leftChars="1400"/>
    </w:pPr>
    <w:rPr>
      <w:rFonts w:ascii="Calibri" w:hAnsi="Calibri"/>
      <w:szCs w:val="22"/>
    </w:rPr>
  </w:style>
  <w:style w:type="paragraph" w:styleId="28">
    <w:name w:val="Body Text Indent 2"/>
    <w:basedOn w:val="1"/>
    <w:link w:val="76"/>
    <w:semiHidden/>
    <w:qFormat/>
    <w:uiPriority w:val="99"/>
    <w:pPr>
      <w:spacing w:after="120" w:line="480" w:lineRule="auto"/>
      <w:ind w:left="420" w:leftChars="200"/>
    </w:pPr>
  </w:style>
  <w:style w:type="paragraph" w:styleId="29">
    <w:name w:val="footer"/>
    <w:basedOn w:val="1"/>
    <w:link w:val="68"/>
    <w:unhideWhenUsed/>
    <w:qFormat/>
    <w:uiPriority w:val="99"/>
    <w:pPr>
      <w:tabs>
        <w:tab w:val="center" w:pos="4153"/>
        <w:tab w:val="right" w:pos="8306"/>
      </w:tabs>
      <w:snapToGrid w:val="0"/>
      <w:jc w:val="left"/>
    </w:pPr>
    <w:rPr>
      <w:sz w:val="18"/>
      <w:szCs w:val="18"/>
    </w:rPr>
  </w:style>
  <w:style w:type="paragraph" w:styleId="30">
    <w:name w:val="toc 1"/>
    <w:basedOn w:val="1"/>
    <w:next w:val="1"/>
    <w:qFormat/>
    <w:uiPriority w:val="39"/>
  </w:style>
  <w:style w:type="paragraph" w:styleId="31">
    <w:name w:val="toc 4"/>
    <w:basedOn w:val="1"/>
    <w:next w:val="1"/>
    <w:unhideWhenUsed/>
    <w:qFormat/>
    <w:uiPriority w:val="39"/>
    <w:pPr>
      <w:ind w:left="1260" w:leftChars="600"/>
    </w:pPr>
    <w:rPr>
      <w:rFonts w:ascii="Calibri" w:hAnsi="Calibri"/>
      <w:szCs w:val="22"/>
    </w:rPr>
  </w:style>
  <w:style w:type="paragraph" w:styleId="32">
    <w:name w:val="toc 6"/>
    <w:basedOn w:val="1"/>
    <w:next w:val="1"/>
    <w:unhideWhenUsed/>
    <w:qFormat/>
    <w:uiPriority w:val="39"/>
    <w:pPr>
      <w:ind w:left="2100" w:leftChars="1000"/>
    </w:pPr>
    <w:rPr>
      <w:rFonts w:ascii="Calibri" w:hAnsi="Calibri"/>
      <w:szCs w:val="22"/>
    </w:rPr>
  </w:style>
  <w:style w:type="paragraph" w:styleId="33">
    <w:name w:val="toc 2"/>
    <w:basedOn w:val="1"/>
    <w:next w:val="1"/>
    <w:qFormat/>
    <w:uiPriority w:val="39"/>
    <w:pPr>
      <w:ind w:left="420" w:leftChars="200"/>
    </w:pPr>
  </w:style>
  <w:style w:type="paragraph" w:styleId="34">
    <w:name w:val="toc 9"/>
    <w:basedOn w:val="1"/>
    <w:next w:val="1"/>
    <w:unhideWhenUsed/>
    <w:qFormat/>
    <w:uiPriority w:val="39"/>
    <w:pPr>
      <w:ind w:left="3360" w:leftChars="1600"/>
    </w:pPr>
    <w:rPr>
      <w:rFonts w:ascii="Calibri" w:hAnsi="Calibri"/>
      <w:szCs w:val="22"/>
    </w:rPr>
  </w:style>
  <w:style w:type="paragraph" w:styleId="35">
    <w:name w:val="List Continue 2"/>
    <w:basedOn w:val="1"/>
    <w:next w:val="32"/>
    <w:qFormat/>
    <w:uiPriority w:val="0"/>
    <w:pPr>
      <w:spacing w:after="120"/>
      <w:ind w:left="840" w:leftChars="400"/>
    </w:pPr>
    <w:rPr>
      <w:rFonts w:ascii="á￥êé" w:hAnsi="á￥êé" w:cs="á￥êé"/>
    </w:rPr>
  </w:style>
  <w:style w:type="paragraph" w:styleId="36">
    <w:name w:val="Normal (Web)"/>
    <w:basedOn w:val="1"/>
    <w:qFormat/>
    <w:uiPriority w:val="99"/>
    <w:rPr>
      <w:rFonts w:ascii="Calibri" w:hAnsi="Calibri" w:cs="Calibri"/>
      <w:sz w:val="24"/>
      <w:szCs w:val="24"/>
    </w:rPr>
  </w:style>
  <w:style w:type="paragraph" w:styleId="37">
    <w:name w:val="annotation subject"/>
    <w:basedOn w:val="22"/>
    <w:next w:val="22"/>
    <w:link w:val="70"/>
    <w:semiHidden/>
    <w:qFormat/>
    <w:uiPriority w:val="99"/>
    <w:rPr>
      <w:b/>
      <w:bCs/>
    </w:rPr>
  </w:style>
  <w:style w:type="paragraph" w:styleId="38">
    <w:name w:val="Body Text First Indent"/>
    <w:basedOn w:val="23"/>
    <w:link w:val="72"/>
    <w:semiHidden/>
    <w:qFormat/>
    <w:uiPriority w:val="99"/>
    <w:pPr>
      <w:ind w:firstLine="420" w:firstLineChars="100"/>
    </w:pPr>
  </w:style>
  <w:style w:type="table" w:styleId="40">
    <w:name w:val="Table Grid"/>
    <w:basedOn w:val="39"/>
    <w:qFormat/>
    <w:uiPriority w:val="9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basedOn w:val="41"/>
    <w:qFormat/>
    <w:uiPriority w:val="99"/>
    <w:rPr>
      <w:b/>
      <w:bCs/>
    </w:rPr>
  </w:style>
  <w:style w:type="character" w:styleId="43">
    <w:name w:val="FollowedHyperlink"/>
    <w:basedOn w:val="41"/>
    <w:semiHidden/>
    <w:unhideWhenUsed/>
    <w:qFormat/>
    <w:uiPriority w:val="99"/>
    <w:rPr>
      <w:color w:val="800080"/>
      <w:u w:val="single"/>
    </w:rPr>
  </w:style>
  <w:style w:type="character" w:styleId="44">
    <w:name w:val="Hyperlink"/>
    <w:basedOn w:val="41"/>
    <w:qFormat/>
    <w:uiPriority w:val="99"/>
    <w:rPr>
      <w:color w:val="0000FF"/>
      <w:u w:val="single"/>
    </w:rPr>
  </w:style>
  <w:style w:type="character" w:styleId="45">
    <w:name w:val="annotation reference"/>
    <w:basedOn w:val="41"/>
    <w:unhideWhenUsed/>
    <w:qFormat/>
    <w:uiPriority w:val="0"/>
    <w:rPr>
      <w:sz w:val="21"/>
      <w:szCs w:val="21"/>
    </w:rPr>
  </w:style>
  <w:style w:type="paragraph" w:customStyle="1" w:styleId="46">
    <w:name w:val="Body Text Indent"/>
    <w:basedOn w:val="1"/>
    <w:next w:val="4"/>
    <w:qFormat/>
    <w:uiPriority w:val="0"/>
    <w:pPr>
      <w:spacing w:after="120"/>
      <w:ind w:left="420"/>
    </w:pPr>
    <w:rPr>
      <w:rFonts w:ascii="Times New Roman" w:hAnsi="Times New Roman" w:eastAsia="宋体"/>
      <w:sz w:val="24"/>
    </w:rPr>
  </w:style>
  <w:style w:type="paragraph" w:customStyle="1" w:styleId="47">
    <w:name w:val="Char Char5 Char Char Char Char Char Char Char Char Char Char Char Char Char Char Char1"/>
    <w:basedOn w:val="11"/>
    <w:next w:val="48"/>
    <w:qFormat/>
    <w:uiPriority w:val="0"/>
    <w:pPr>
      <w:spacing w:before="120" w:after="120"/>
      <w:ind w:left="742" w:firstLine="24"/>
    </w:pPr>
  </w:style>
  <w:style w:type="paragraph" w:customStyle="1" w:styleId="48">
    <w:name w:val="Char5"/>
    <w:basedOn w:val="1"/>
    <w:next w:val="49"/>
    <w:qFormat/>
    <w:uiPriority w:val="0"/>
    <w:pPr>
      <w:ind w:firstLine="5632"/>
    </w:pPr>
  </w:style>
  <w:style w:type="paragraph" w:customStyle="1" w:styleId="49">
    <w:name w:val="表内"/>
    <w:next w:val="50"/>
    <w:qFormat/>
    <w:uiPriority w:val="0"/>
    <w:pPr>
      <w:ind w:firstLine="2048"/>
      <w:jc w:val="center"/>
    </w:pPr>
    <w:rPr>
      <w:rFonts w:ascii="Calibri" w:hAnsi="Calibri" w:eastAsia="Calibri" w:cs="Times New Roman"/>
      <w:lang w:val="en-US" w:eastAsia="zh-CN" w:bidi="ar-SA"/>
    </w:rPr>
  </w:style>
  <w:style w:type="paragraph" w:customStyle="1" w:styleId="50">
    <w:name w:val="表格内文字"/>
    <w:basedOn w:val="1"/>
    <w:next w:val="51"/>
    <w:qFormat/>
    <w:uiPriority w:val="0"/>
    <w:pPr>
      <w:tabs>
        <w:tab w:val="left" w:pos="0"/>
      </w:tabs>
      <w:adjustRightInd w:val="0"/>
      <w:snapToGrid w:val="0"/>
      <w:ind w:left="420" w:hanging="420"/>
      <w:jc w:val="center"/>
    </w:pPr>
    <w:rPr>
      <w:rFonts w:ascii="Calibri" w:hAnsi="Calibri"/>
      <w:kern w:val="0"/>
      <w:sz w:val="20"/>
      <w:lang w:val="de-DE" w:eastAsia="de-DE"/>
    </w:rPr>
  </w:style>
  <w:style w:type="paragraph" w:customStyle="1" w:styleId="51">
    <w:name w:val="xl35"/>
    <w:basedOn w:val="1"/>
    <w:next w:val="52"/>
    <w:qFormat/>
    <w:uiPriority w:val="0"/>
    <w:pPr>
      <w:widowControl/>
      <w:pBdr>
        <w:top w:val="single" w:color="auto" w:sz="4" w:space="0"/>
        <w:bottom w:val="single" w:color="auto" w:sz="4" w:space="0"/>
      </w:pBdr>
      <w:spacing w:before="100" w:beforeAutospacing="1" w:after="100" w:afterAutospacing="1"/>
      <w:jc w:val="left"/>
    </w:pPr>
    <w:rPr>
      <w:rFonts w:ascii="Tms Rmn" w:hAnsi="á￥êé" w:cs="á￥êé"/>
      <w:kern w:val="0"/>
      <w:sz w:val="24"/>
    </w:rPr>
  </w:style>
  <w:style w:type="paragraph" w:customStyle="1" w:styleId="52">
    <w:name w:val="报告正文"/>
    <w:basedOn w:val="1"/>
    <w:next w:val="53"/>
    <w:qFormat/>
    <w:uiPriority w:val="0"/>
    <w:pPr>
      <w:ind w:firstLine="482"/>
    </w:pPr>
  </w:style>
  <w:style w:type="paragraph" w:customStyle="1" w:styleId="53">
    <w:name w:val="样式 小四 行距: 1.5 倍行距"/>
    <w:basedOn w:val="1"/>
    <w:next w:val="54"/>
    <w:qFormat/>
    <w:uiPriority w:val="0"/>
    <w:pPr>
      <w:spacing w:line="360" w:lineRule="auto"/>
      <w:ind w:firstLine="6144"/>
    </w:pPr>
  </w:style>
  <w:style w:type="paragraph" w:customStyle="1" w:styleId="54">
    <w:name w:val="标题3"/>
    <w:basedOn w:val="9"/>
    <w:next w:val="35"/>
    <w:qFormat/>
    <w:uiPriority w:val="0"/>
    <w:pPr>
      <w:tabs>
        <w:tab w:val="left" w:pos="432"/>
      </w:tabs>
      <w:spacing w:before="200" w:after="280" w:line="240" w:lineRule="auto"/>
      <w:ind w:firstLine="24"/>
      <w:outlineLvl w:val="2"/>
    </w:pPr>
  </w:style>
  <w:style w:type="paragraph" w:customStyle="1" w:styleId="55">
    <w:name w:val="正文文本缩进11"/>
    <w:basedOn w:val="1"/>
    <w:next w:val="4"/>
    <w:qFormat/>
    <w:uiPriority w:val="0"/>
    <w:pPr>
      <w:spacing w:after="120"/>
      <w:ind w:left="420"/>
    </w:pPr>
    <w:rPr>
      <w:sz w:val="24"/>
    </w:rPr>
  </w:style>
  <w:style w:type="character" w:customStyle="1" w:styleId="56">
    <w:name w:val="正文文本缩进 字符"/>
    <w:basedOn w:val="41"/>
    <w:link w:val="3"/>
    <w:qFormat/>
    <w:uiPriority w:val="99"/>
    <w:rPr>
      <w:rFonts w:ascii="Times New Roman" w:hAnsi="Times New Roman" w:eastAsia="宋体" w:cs="Times New Roman"/>
      <w:szCs w:val="21"/>
    </w:rPr>
  </w:style>
  <w:style w:type="character" w:customStyle="1" w:styleId="57">
    <w:name w:val="正文文本首行缩进 2 字符"/>
    <w:basedOn w:val="56"/>
    <w:link w:val="2"/>
    <w:qFormat/>
    <w:uiPriority w:val="99"/>
    <w:rPr>
      <w:rFonts w:ascii="Times New Roman" w:hAnsi="Times New Roman" w:eastAsia="宋体" w:cs="Times New Roman"/>
      <w:szCs w:val="24"/>
    </w:rPr>
  </w:style>
  <w:style w:type="character" w:customStyle="1" w:styleId="58">
    <w:name w:val="标题 1 字符"/>
    <w:basedOn w:val="41"/>
    <w:link w:val="9"/>
    <w:qFormat/>
    <w:uiPriority w:val="99"/>
    <w:rPr>
      <w:rFonts w:ascii="Times New Roman" w:hAnsi="Times New Roman" w:eastAsia="宋体" w:cs="Times New Roman"/>
      <w:b/>
      <w:bCs/>
      <w:kern w:val="44"/>
      <w:sz w:val="32"/>
      <w:szCs w:val="32"/>
    </w:rPr>
  </w:style>
  <w:style w:type="character" w:customStyle="1" w:styleId="59">
    <w:name w:val="标题 2 字符"/>
    <w:basedOn w:val="41"/>
    <w:link w:val="10"/>
    <w:qFormat/>
    <w:uiPriority w:val="99"/>
    <w:rPr>
      <w:rFonts w:ascii="Times New Roman" w:hAnsi="Times New Roman" w:eastAsia="宋体" w:cs="Times New Roman"/>
      <w:b/>
      <w:bCs/>
      <w:sz w:val="28"/>
      <w:szCs w:val="28"/>
    </w:rPr>
  </w:style>
  <w:style w:type="character" w:customStyle="1" w:styleId="60">
    <w:name w:val="标题 3 字符"/>
    <w:basedOn w:val="41"/>
    <w:link w:val="11"/>
    <w:qFormat/>
    <w:uiPriority w:val="99"/>
    <w:rPr>
      <w:rFonts w:ascii="Times New Roman" w:hAnsi="Times New Roman" w:eastAsia="宋体" w:cs="Times New Roman"/>
      <w:b/>
      <w:bCs/>
      <w:sz w:val="24"/>
      <w:szCs w:val="24"/>
    </w:rPr>
  </w:style>
  <w:style w:type="character" w:customStyle="1" w:styleId="61">
    <w:name w:val="标题 4 字符"/>
    <w:basedOn w:val="41"/>
    <w:link w:val="12"/>
    <w:qFormat/>
    <w:uiPriority w:val="99"/>
    <w:rPr>
      <w:rFonts w:ascii="Arial" w:hAnsi="Arial" w:eastAsia="黑体" w:cs="Arial"/>
      <w:b/>
      <w:bCs/>
      <w:sz w:val="28"/>
      <w:szCs w:val="28"/>
    </w:rPr>
  </w:style>
  <w:style w:type="character" w:customStyle="1" w:styleId="62">
    <w:name w:val="标题 5 字符"/>
    <w:basedOn w:val="41"/>
    <w:link w:val="13"/>
    <w:qFormat/>
    <w:uiPriority w:val="99"/>
    <w:rPr>
      <w:rFonts w:ascii="Times New Roman" w:hAnsi="Times New Roman" w:eastAsia="宋体" w:cs="Times New Roman"/>
      <w:b/>
      <w:bCs/>
      <w:sz w:val="28"/>
      <w:szCs w:val="28"/>
    </w:rPr>
  </w:style>
  <w:style w:type="character" w:customStyle="1" w:styleId="63">
    <w:name w:val="标题 6 字符"/>
    <w:basedOn w:val="41"/>
    <w:link w:val="14"/>
    <w:qFormat/>
    <w:uiPriority w:val="99"/>
    <w:rPr>
      <w:rFonts w:ascii="Arial" w:hAnsi="Arial" w:eastAsia="黑体" w:cs="Arial"/>
      <w:b/>
      <w:bCs/>
      <w:sz w:val="24"/>
      <w:szCs w:val="24"/>
    </w:rPr>
  </w:style>
  <w:style w:type="character" w:customStyle="1" w:styleId="64">
    <w:name w:val="标题 7 字符"/>
    <w:basedOn w:val="41"/>
    <w:link w:val="15"/>
    <w:qFormat/>
    <w:uiPriority w:val="99"/>
    <w:rPr>
      <w:rFonts w:ascii="Times New Roman" w:hAnsi="Times New Roman" w:eastAsia="宋体" w:cs="Times New Roman"/>
      <w:b/>
      <w:bCs/>
      <w:sz w:val="24"/>
      <w:szCs w:val="24"/>
    </w:rPr>
  </w:style>
  <w:style w:type="character" w:customStyle="1" w:styleId="65">
    <w:name w:val="标题 8 字符"/>
    <w:basedOn w:val="41"/>
    <w:link w:val="16"/>
    <w:qFormat/>
    <w:uiPriority w:val="99"/>
    <w:rPr>
      <w:rFonts w:ascii="Arial" w:hAnsi="Arial" w:eastAsia="黑体" w:cs="Arial"/>
      <w:sz w:val="24"/>
      <w:szCs w:val="24"/>
    </w:rPr>
  </w:style>
  <w:style w:type="character" w:customStyle="1" w:styleId="66">
    <w:name w:val="标题 9 字符"/>
    <w:basedOn w:val="41"/>
    <w:link w:val="17"/>
    <w:qFormat/>
    <w:uiPriority w:val="99"/>
    <w:rPr>
      <w:rFonts w:ascii="Arial" w:hAnsi="Arial" w:eastAsia="黑体" w:cs="Arial"/>
      <w:szCs w:val="21"/>
    </w:rPr>
  </w:style>
  <w:style w:type="character" w:customStyle="1" w:styleId="67">
    <w:name w:val="页眉 字符1"/>
    <w:basedOn w:val="41"/>
    <w:link w:val="6"/>
    <w:qFormat/>
    <w:uiPriority w:val="99"/>
    <w:rPr>
      <w:sz w:val="18"/>
      <w:szCs w:val="18"/>
    </w:rPr>
  </w:style>
  <w:style w:type="character" w:customStyle="1" w:styleId="68">
    <w:name w:val="页脚 字符1"/>
    <w:basedOn w:val="41"/>
    <w:link w:val="29"/>
    <w:qFormat/>
    <w:uiPriority w:val="99"/>
    <w:rPr>
      <w:sz w:val="18"/>
      <w:szCs w:val="18"/>
    </w:rPr>
  </w:style>
  <w:style w:type="character" w:customStyle="1" w:styleId="69">
    <w:name w:val="批注文字 字符"/>
    <w:basedOn w:val="41"/>
    <w:link w:val="22"/>
    <w:qFormat/>
    <w:uiPriority w:val="0"/>
    <w:rPr>
      <w:rFonts w:ascii="Times New Roman" w:hAnsi="Times New Roman" w:eastAsia="宋体" w:cs="Times New Roman"/>
      <w:szCs w:val="21"/>
    </w:rPr>
  </w:style>
  <w:style w:type="character" w:customStyle="1" w:styleId="70">
    <w:name w:val="批注主题 字符"/>
    <w:basedOn w:val="69"/>
    <w:link w:val="37"/>
    <w:semiHidden/>
    <w:qFormat/>
    <w:uiPriority w:val="99"/>
    <w:rPr>
      <w:rFonts w:ascii="Times New Roman" w:hAnsi="Times New Roman" w:eastAsia="宋体" w:cs="Times New Roman"/>
      <w:b/>
      <w:bCs/>
      <w:szCs w:val="21"/>
    </w:rPr>
  </w:style>
  <w:style w:type="character" w:customStyle="1" w:styleId="71">
    <w:name w:val="正文文本 字符"/>
    <w:basedOn w:val="41"/>
    <w:link w:val="23"/>
    <w:qFormat/>
    <w:uiPriority w:val="99"/>
    <w:rPr>
      <w:rFonts w:ascii="Times New Roman" w:hAnsi="Times New Roman" w:eastAsia="宋体" w:cs="Times New Roman"/>
      <w:szCs w:val="21"/>
    </w:rPr>
  </w:style>
  <w:style w:type="character" w:customStyle="1" w:styleId="72">
    <w:name w:val="正文文本首行缩进 字符"/>
    <w:basedOn w:val="71"/>
    <w:link w:val="38"/>
    <w:semiHidden/>
    <w:qFormat/>
    <w:uiPriority w:val="99"/>
    <w:rPr>
      <w:rFonts w:ascii="Times New Roman" w:hAnsi="Times New Roman" w:eastAsia="宋体" w:cs="Times New Roman"/>
      <w:szCs w:val="21"/>
    </w:rPr>
  </w:style>
  <w:style w:type="character" w:customStyle="1" w:styleId="73">
    <w:name w:val="正文缩进 字符"/>
    <w:basedOn w:val="41"/>
    <w:link w:val="19"/>
    <w:qFormat/>
    <w:locked/>
    <w:uiPriority w:val="0"/>
    <w:rPr>
      <w:rFonts w:ascii="Times New Roman" w:hAnsi="Times New Roman" w:eastAsia="宋体" w:cs="Times New Roman"/>
      <w:szCs w:val="21"/>
    </w:rPr>
  </w:style>
  <w:style w:type="character" w:customStyle="1" w:styleId="74">
    <w:name w:val="文档结构图 字符"/>
    <w:basedOn w:val="41"/>
    <w:link w:val="21"/>
    <w:semiHidden/>
    <w:qFormat/>
    <w:uiPriority w:val="99"/>
    <w:rPr>
      <w:rFonts w:ascii="宋体" w:hAnsi="Times New Roman" w:eastAsia="宋体" w:cs="宋体"/>
      <w:sz w:val="18"/>
      <w:szCs w:val="18"/>
    </w:rPr>
  </w:style>
  <w:style w:type="character" w:customStyle="1" w:styleId="75">
    <w:name w:val="纯文本 字符1"/>
    <w:basedOn w:val="41"/>
    <w:link w:val="26"/>
    <w:qFormat/>
    <w:uiPriority w:val="99"/>
    <w:rPr>
      <w:rFonts w:ascii="宋体" w:hAnsi="Courier New" w:eastAsia="宋体" w:cs="宋体"/>
      <w:kern w:val="0"/>
      <w:sz w:val="20"/>
      <w:szCs w:val="20"/>
    </w:rPr>
  </w:style>
  <w:style w:type="character" w:customStyle="1" w:styleId="76">
    <w:name w:val="正文文本缩进 2 字符"/>
    <w:basedOn w:val="41"/>
    <w:link w:val="28"/>
    <w:semiHidden/>
    <w:qFormat/>
    <w:uiPriority w:val="99"/>
    <w:rPr>
      <w:rFonts w:ascii="Times New Roman" w:hAnsi="Times New Roman" w:eastAsia="宋体" w:cs="Times New Roman"/>
      <w:szCs w:val="21"/>
    </w:rPr>
  </w:style>
  <w:style w:type="character" w:customStyle="1" w:styleId="77">
    <w:name w:val="批注框文本 字符"/>
    <w:basedOn w:val="41"/>
    <w:link w:val="20"/>
    <w:semiHidden/>
    <w:qFormat/>
    <w:uiPriority w:val="99"/>
    <w:rPr>
      <w:rFonts w:ascii="Times New Roman" w:hAnsi="Times New Roman" w:eastAsia="宋体" w:cs="Times New Roman"/>
      <w:sz w:val="18"/>
      <w:szCs w:val="18"/>
    </w:rPr>
  </w:style>
  <w:style w:type="character" w:customStyle="1" w:styleId="78">
    <w:name w:val="Body Text Char"/>
    <w:basedOn w:val="41"/>
    <w:qFormat/>
    <w:locked/>
    <w:uiPriority w:val="99"/>
    <w:rPr>
      <w:rFonts w:ascii="Times New Roman" w:hAnsi="Times New Roman" w:cs="Times New Roman"/>
      <w:sz w:val="27"/>
      <w:szCs w:val="27"/>
    </w:rPr>
  </w:style>
  <w:style w:type="character" w:customStyle="1" w:styleId="79">
    <w:name w:val="页脚 Char1"/>
    <w:qFormat/>
    <w:uiPriority w:val="99"/>
    <w:rPr>
      <w:rFonts w:ascii="Times New Roman" w:hAnsi="Times New Roman" w:eastAsia="宋体" w:cs="Times New Roman"/>
      <w:sz w:val="18"/>
      <w:szCs w:val="18"/>
    </w:rPr>
  </w:style>
  <w:style w:type="character" w:customStyle="1" w:styleId="80">
    <w:name w:val="纯文本 Char1"/>
    <w:link w:val="81"/>
    <w:qFormat/>
    <w:locked/>
    <w:uiPriority w:val="99"/>
    <w:rPr>
      <w:rFonts w:ascii="宋体" w:hAnsi="Courier New" w:eastAsia="宋体" w:cs="宋体"/>
      <w:szCs w:val="21"/>
    </w:rPr>
  </w:style>
  <w:style w:type="paragraph" w:customStyle="1" w:styleId="81">
    <w:name w:val="纯文本3"/>
    <w:basedOn w:val="1"/>
    <w:link w:val="80"/>
    <w:qFormat/>
    <w:uiPriority w:val="99"/>
    <w:rPr>
      <w:rFonts w:ascii="宋体" w:hAnsi="Courier New"/>
      <w:kern w:val="0"/>
      <w:sz w:val="20"/>
    </w:rPr>
  </w:style>
  <w:style w:type="paragraph" w:styleId="82">
    <w:name w:val="No Spacing"/>
    <w:link w:val="83"/>
    <w:qFormat/>
    <w:uiPriority w:val="99"/>
    <w:rPr>
      <w:rFonts w:ascii="Times New Roman" w:hAnsi="Times New Roman" w:eastAsia="宋体" w:cs="Times New Roman"/>
      <w:sz w:val="22"/>
      <w:szCs w:val="22"/>
      <w:lang w:val="en-US" w:eastAsia="zh-CN" w:bidi="ar-SA"/>
    </w:rPr>
  </w:style>
  <w:style w:type="character" w:customStyle="1" w:styleId="83">
    <w:name w:val="无间隔 字符"/>
    <w:link w:val="82"/>
    <w:qFormat/>
    <w:locked/>
    <w:uiPriority w:val="99"/>
    <w:rPr>
      <w:rFonts w:ascii="Times New Roman" w:hAnsi="Times New Roman"/>
      <w:sz w:val="22"/>
      <w:szCs w:val="22"/>
      <w:lang w:bidi="ar-SA"/>
    </w:rPr>
  </w:style>
  <w:style w:type="paragraph" w:styleId="84">
    <w:name w:val="List Paragraph"/>
    <w:basedOn w:val="1"/>
    <w:qFormat/>
    <w:uiPriority w:val="99"/>
    <w:pPr>
      <w:ind w:firstLine="420" w:firstLineChars="200"/>
    </w:pPr>
  </w:style>
  <w:style w:type="paragraph" w:customStyle="1" w:styleId="85">
    <w:name w:val="陈光的正文"/>
    <w:basedOn w:val="1"/>
    <w:qFormat/>
    <w:uiPriority w:val="99"/>
    <w:pPr>
      <w:adjustRightInd w:val="0"/>
      <w:snapToGrid w:val="0"/>
      <w:spacing w:beforeLines="10" w:afterLines="10" w:line="360" w:lineRule="auto"/>
      <w:ind w:firstLine="560" w:firstLineChars="200"/>
    </w:pPr>
    <w:rPr>
      <w:sz w:val="28"/>
      <w:szCs w:val="28"/>
    </w:rPr>
  </w:style>
  <w:style w:type="paragraph" w:customStyle="1" w:styleId="86">
    <w:name w:val="表内5S"/>
    <w:basedOn w:val="1"/>
    <w:qFormat/>
    <w:uiPriority w:val="99"/>
    <w:pPr>
      <w:spacing w:line="300" w:lineRule="exact"/>
      <w:jc w:val="center"/>
    </w:pPr>
    <w:rPr>
      <w:rFonts w:eastAsia="方正宋三简体"/>
    </w:rPr>
  </w:style>
  <w:style w:type="paragraph" w:customStyle="1" w:styleId="87">
    <w:name w:val="标题 11"/>
    <w:basedOn w:val="1"/>
    <w:qFormat/>
    <w:uiPriority w:val="99"/>
    <w:pPr>
      <w:autoSpaceDE w:val="0"/>
      <w:autoSpaceDN w:val="0"/>
      <w:spacing w:line="329" w:lineRule="exact"/>
      <w:ind w:left="20"/>
      <w:jc w:val="left"/>
      <w:outlineLvl w:val="1"/>
    </w:pPr>
    <w:rPr>
      <w:rFonts w:ascii="黑体" w:hAnsi="黑体" w:eastAsia="黑体" w:cs="黑体"/>
      <w:kern w:val="0"/>
      <w:sz w:val="28"/>
      <w:szCs w:val="28"/>
      <w:lang w:eastAsia="en-US"/>
    </w:rPr>
  </w:style>
  <w:style w:type="paragraph" w:customStyle="1" w:styleId="88">
    <w:name w:val="Table Paragraph"/>
    <w:basedOn w:val="1"/>
    <w:qFormat/>
    <w:uiPriority w:val="1"/>
    <w:pPr>
      <w:autoSpaceDE w:val="0"/>
      <w:autoSpaceDN w:val="0"/>
      <w:jc w:val="center"/>
    </w:pPr>
    <w:rPr>
      <w:rFonts w:ascii="宋体" w:hAnsi="宋体" w:cs="宋体"/>
      <w:kern w:val="0"/>
      <w:sz w:val="22"/>
      <w:szCs w:val="22"/>
      <w:lang w:eastAsia="en-US"/>
    </w:rPr>
  </w:style>
  <w:style w:type="paragraph" w:customStyle="1" w:styleId="89">
    <w:name w:val="标题 21"/>
    <w:basedOn w:val="1"/>
    <w:qFormat/>
    <w:uiPriority w:val="99"/>
    <w:pPr>
      <w:autoSpaceDE w:val="0"/>
      <w:autoSpaceDN w:val="0"/>
      <w:spacing w:before="3"/>
      <w:ind w:left="638" w:hanging="422"/>
      <w:jc w:val="left"/>
      <w:outlineLvl w:val="2"/>
    </w:pPr>
    <w:rPr>
      <w:rFonts w:ascii="Microsoft JhengHei" w:hAnsi="Microsoft JhengHei" w:eastAsia="Microsoft JhengHei" w:cs="Microsoft JhengHei"/>
      <w:b/>
      <w:bCs/>
      <w:kern w:val="0"/>
      <w:sz w:val="24"/>
      <w:szCs w:val="24"/>
      <w:lang w:eastAsia="en-US"/>
    </w:rPr>
  </w:style>
  <w:style w:type="character" w:customStyle="1" w:styleId="90">
    <w:name w:val="纯文本 字符"/>
    <w:qFormat/>
    <w:uiPriority w:val="99"/>
    <w:rPr>
      <w:rFonts w:ascii="宋体" w:hAnsi="Courier New" w:eastAsia="宋体" w:cs="宋体"/>
      <w:sz w:val="21"/>
      <w:szCs w:val="21"/>
    </w:rPr>
  </w:style>
  <w:style w:type="paragraph" w:customStyle="1" w:styleId="91">
    <w:name w:val="Heading 11"/>
    <w:basedOn w:val="1"/>
    <w:qFormat/>
    <w:uiPriority w:val="99"/>
    <w:pPr>
      <w:autoSpaceDE w:val="0"/>
      <w:autoSpaceDN w:val="0"/>
      <w:adjustRightInd w:val="0"/>
      <w:jc w:val="center"/>
      <w:outlineLvl w:val="0"/>
    </w:pPr>
    <w:rPr>
      <w:b/>
      <w:bCs/>
      <w:kern w:val="0"/>
      <w:sz w:val="32"/>
      <w:szCs w:val="32"/>
    </w:rPr>
  </w:style>
  <w:style w:type="paragraph" w:customStyle="1" w:styleId="92">
    <w:name w:val="Heading 21"/>
    <w:basedOn w:val="10"/>
    <w:next w:val="10"/>
    <w:qFormat/>
    <w:uiPriority w:val="99"/>
    <w:pPr>
      <w:autoSpaceDE w:val="0"/>
      <w:autoSpaceDN w:val="0"/>
      <w:adjustRightInd w:val="0"/>
      <w:spacing w:line="360" w:lineRule="auto"/>
    </w:pPr>
    <w:rPr>
      <w:rFonts w:hAnsi="Cambria"/>
      <w:kern w:val="0"/>
      <w:sz w:val="27"/>
      <w:szCs w:val="27"/>
    </w:rPr>
  </w:style>
  <w:style w:type="character" w:customStyle="1" w:styleId="93">
    <w:name w:val="表格 Char Char"/>
    <w:link w:val="94"/>
    <w:qFormat/>
    <w:locked/>
    <w:uiPriority w:val="99"/>
    <w:rPr>
      <w:sz w:val="24"/>
      <w:szCs w:val="24"/>
    </w:rPr>
  </w:style>
  <w:style w:type="paragraph" w:customStyle="1" w:styleId="94">
    <w:name w:val="表格"/>
    <w:basedOn w:val="1"/>
    <w:link w:val="93"/>
    <w:qFormat/>
    <w:uiPriority w:val="99"/>
    <w:pPr>
      <w:jc w:val="center"/>
    </w:pPr>
    <w:rPr>
      <w:rFonts w:ascii="Calibri" w:hAnsi="Calibri"/>
      <w:kern w:val="0"/>
      <w:sz w:val="24"/>
      <w:szCs w:val="24"/>
    </w:rPr>
  </w:style>
  <w:style w:type="paragraph" w:customStyle="1" w:styleId="95">
    <w:name w:val="表样式2"/>
    <w:basedOn w:val="1"/>
    <w:qFormat/>
    <w:uiPriority w:val="99"/>
    <w:pPr>
      <w:adjustRightInd w:val="0"/>
      <w:snapToGrid w:val="0"/>
      <w:jc w:val="center"/>
    </w:pPr>
    <w:rPr>
      <w:rFonts w:hAnsi="宋体"/>
    </w:rPr>
  </w:style>
  <w:style w:type="character" w:customStyle="1" w:styleId="96">
    <w:name w:val="fontstyle01"/>
    <w:basedOn w:val="41"/>
    <w:qFormat/>
    <w:uiPriority w:val="99"/>
    <w:rPr>
      <w:rFonts w:ascii="TimesNewRomanPS-BoldMT" w:hAnsi="TimesNewRomanPS-BoldMT" w:cs="TimesNewRomanPS-BoldMT"/>
      <w:b/>
      <w:bCs/>
      <w:color w:val="000000"/>
      <w:sz w:val="28"/>
      <w:szCs w:val="28"/>
    </w:rPr>
  </w:style>
  <w:style w:type="character" w:customStyle="1" w:styleId="97">
    <w:name w:val="fontstyle21"/>
    <w:basedOn w:val="41"/>
    <w:qFormat/>
    <w:uiPriority w:val="99"/>
    <w:rPr>
      <w:rFonts w:ascii="宋" w:eastAsia="宋" w:cs="宋"/>
      <w:b/>
      <w:bCs/>
      <w:color w:val="000000"/>
      <w:sz w:val="28"/>
      <w:szCs w:val="28"/>
    </w:rPr>
  </w:style>
  <w:style w:type="character" w:customStyle="1" w:styleId="98">
    <w:name w:val="fontstyle31"/>
    <w:basedOn w:val="41"/>
    <w:qFormat/>
    <w:uiPriority w:val="99"/>
    <w:rPr>
      <w:rFonts w:ascii="TimesNewRomanPSMT" w:hAnsi="TimesNewRomanPSMT" w:cs="TimesNewRomanPSMT"/>
      <w:color w:val="000000"/>
      <w:sz w:val="22"/>
      <w:szCs w:val="22"/>
    </w:rPr>
  </w:style>
  <w:style w:type="character" w:customStyle="1" w:styleId="99">
    <w:name w:val="fontstyle41"/>
    <w:basedOn w:val="41"/>
    <w:qFormat/>
    <w:uiPriority w:val="99"/>
    <w:rPr>
      <w:rFonts w:ascii="宋" w:eastAsia="宋" w:cs="宋"/>
      <w:color w:val="000000"/>
      <w:sz w:val="22"/>
      <w:szCs w:val="22"/>
    </w:rPr>
  </w:style>
  <w:style w:type="character" w:customStyle="1" w:styleId="100">
    <w:name w:val="fontstyle51"/>
    <w:basedOn w:val="41"/>
    <w:qFormat/>
    <w:uiPriority w:val="99"/>
    <w:rPr>
      <w:rFonts w:ascii="宋" w:eastAsia="宋" w:cs="宋"/>
      <w:i/>
      <w:iCs/>
      <w:color w:val="000000"/>
      <w:sz w:val="18"/>
      <w:szCs w:val="18"/>
    </w:rPr>
  </w:style>
  <w:style w:type="character" w:customStyle="1" w:styleId="101">
    <w:name w:val="fontstyle61"/>
    <w:basedOn w:val="41"/>
    <w:qFormat/>
    <w:uiPriority w:val="99"/>
    <w:rPr>
      <w:rFonts w:ascii="TimesNewRomanPS-ItalicMT" w:hAnsi="TimesNewRomanPS-ItalicMT" w:cs="TimesNewRomanPS-ItalicMT"/>
      <w:i/>
      <w:iCs/>
      <w:color w:val="000000"/>
      <w:sz w:val="18"/>
      <w:szCs w:val="18"/>
    </w:rPr>
  </w:style>
  <w:style w:type="character" w:customStyle="1" w:styleId="102">
    <w:name w:val="fontstyle11"/>
    <w:basedOn w:val="41"/>
    <w:qFormat/>
    <w:uiPriority w:val="99"/>
    <w:rPr>
      <w:rFonts w:ascii="宋" w:eastAsia="宋" w:cs="宋"/>
      <w:b/>
      <w:bCs/>
      <w:color w:val="000000"/>
      <w:sz w:val="28"/>
      <w:szCs w:val="28"/>
    </w:rPr>
  </w:style>
  <w:style w:type="paragraph" w:customStyle="1" w:styleId="103">
    <w:name w:val="正文 首行缩进:  2 字符"/>
    <w:basedOn w:val="1"/>
    <w:link w:val="104"/>
    <w:qFormat/>
    <w:uiPriority w:val="99"/>
    <w:pPr>
      <w:adjustRightInd w:val="0"/>
      <w:snapToGrid w:val="0"/>
      <w:spacing w:line="500" w:lineRule="exact"/>
      <w:ind w:firstLine="200" w:firstLineChars="200"/>
      <w:jc w:val="left"/>
    </w:pPr>
    <w:rPr>
      <w:kern w:val="0"/>
      <w:sz w:val="24"/>
      <w:szCs w:val="24"/>
    </w:rPr>
  </w:style>
  <w:style w:type="character" w:customStyle="1" w:styleId="104">
    <w:name w:val="正文 首行缩进:  2 字符 Char Char Char Char"/>
    <w:link w:val="103"/>
    <w:qFormat/>
    <w:locked/>
    <w:uiPriority w:val="99"/>
    <w:rPr>
      <w:rFonts w:ascii="Times New Roman" w:hAnsi="Times New Roman" w:eastAsia="宋体" w:cs="Times New Roman"/>
      <w:sz w:val="24"/>
      <w:szCs w:val="24"/>
    </w:rPr>
  </w:style>
  <w:style w:type="paragraph" w:customStyle="1" w:styleId="105">
    <w:name w:val="表格文字"/>
    <w:basedOn w:val="19"/>
    <w:qFormat/>
    <w:uiPriority w:val="99"/>
    <w:pPr>
      <w:snapToGrid w:val="0"/>
      <w:ind w:firstLine="0" w:firstLineChars="0"/>
      <w:jc w:val="center"/>
    </w:pPr>
    <w:rPr>
      <w:rFonts w:ascii="宋体" w:hAnsi="Arial" w:cs="宋体"/>
    </w:rPr>
  </w:style>
  <w:style w:type="paragraph" w:customStyle="1" w:styleId="106">
    <w:name w:val="简单回函地址"/>
    <w:basedOn w:val="1"/>
    <w:qFormat/>
    <w:uiPriority w:val="99"/>
  </w:style>
  <w:style w:type="paragraph" w:customStyle="1" w:styleId="107">
    <w:name w:val="表内容"/>
    <w:basedOn w:val="1"/>
    <w:link w:val="108"/>
    <w:qFormat/>
    <w:uiPriority w:val="0"/>
    <w:pPr>
      <w:adjustRightInd w:val="0"/>
      <w:snapToGrid w:val="0"/>
      <w:jc w:val="center"/>
    </w:pPr>
    <w:rPr>
      <w:kern w:val="0"/>
    </w:rPr>
  </w:style>
  <w:style w:type="character" w:customStyle="1" w:styleId="108">
    <w:name w:val="表内容 Char"/>
    <w:basedOn w:val="41"/>
    <w:link w:val="107"/>
    <w:qFormat/>
    <w:locked/>
    <w:uiPriority w:val="0"/>
    <w:rPr>
      <w:rFonts w:ascii="Times New Roman" w:hAnsi="Times New Roman" w:eastAsia="宋体" w:cs="Times New Roman"/>
      <w:kern w:val="0"/>
      <w:szCs w:val="21"/>
    </w:rPr>
  </w:style>
  <w:style w:type="character" w:customStyle="1" w:styleId="109">
    <w:name w:val="纯文本 Char2"/>
    <w:qFormat/>
    <w:uiPriority w:val="99"/>
    <w:rPr>
      <w:rFonts w:ascii="宋体" w:hAnsi="Courier New" w:eastAsia="宋体" w:cs="宋体"/>
      <w:sz w:val="21"/>
      <w:szCs w:val="21"/>
    </w:rPr>
  </w:style>
  <w:style w:type="paragraph" w:customStyle="1" w:styleId="110">
    <w:name w:val="普通(网站)1"/>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11">
    <w:name w:val="编制说明"/>
    <w:basedOn w:val="1"/>
    <w:qFormat/>
    <w:uiPriority w:val="99"/>
    <w:pPr>
      <w:topLinePunct/>
      <w:adjustRightInd w:val="0"/>
      <w:snapToGrid w:val="0"/>
      <w:spacing w:line="360" w:lineRule="auto"/>
      <w:ind w:firstLine="420"/>
    </w:pPr>
    <w:rPr>
      <w:rFonts w:eastAsia="仿宋_GB2312"/>
    </w:rPr>
  </w:style>
  <w:style w:type="character" w:customStyle="1" w:styleId="112">
    <w:name w:val="批注框文本 Char1"/>
    <w:semiHidden/>
    <w:qFormat/>
    <w:uiPriority w:val="99"/>
    <w:rPr>
      <w:rFonts w:ascii="Calibri" w:hAnsi="Calibri" w:eastAsia="宋体" w:cs="Calibri"/>
      <w:kern w:val="0"/>
      <w:sz w:val="18"/>
      <w:szCs w:val="18"/>
    </w:rPr>
  </w:style>
  <w:style w:type="character" w:customStyle="1" w:styleId="113">
    <w:name w:val="font41"/>
    <w:basedOn w:val="41"/>
    <w:qFormat/>
    <w:uiPriority w:val="99"/>
    <w:rPr>
      <w:rFonts w:ascii="宋体" w:hAnsi="宋体" w:eastAsia="宋体" w:cs="宋体"/>
      <w:color w:val="000000"/>
      <w:sz w:val="18"/>
      <w:szCs w:val="18"/>
      <w:u w:val="none"/>
    </w:rPr>
  </w:style>
  <w:style w:type="character" w:customStyle="1" w:styleId="114">
    <w:name w:val="font21"/>
    <w:basedOn w:val="41"/>
    <w:qFormat/>
    <w:uiPriority w:val="99"/>
    <w:rPr>
      <w:rFonts w:ascii="Symbol" w:hAnsi="Symbol" w:cs="Symbol"/>
      <w:color w:val="000000"/>
      <w:sz w:val="18"/>
      <w:szCs w:val="18"/>
      <w:u w:val="none"/>
    </w:rPr>
  </w:style>
  <w:style w:type="character" w:customStyle="1" w:styleId="115">
    <w:name w:val="页脚 字符"/>
    <w:semiHidden/>
    <w:qFormat/>
    <w:uiPriority w:val="99"/>
    <w:rPr>
      <w:rFonts w:ascii="Calibri" w:hAnsi="Calibri" w:eastAsia="宋体" w:cs="Calibri"/>
      <w:sz w:val="18"/>
      <w:szCs w:val="18"/>
    </w:rPr>
  </w:style>
  <w:style w:type="character" w:customStyle="1" w:styleId="116">
    <w:name w:val="font11"/>
    <w:basedOn w:val="41"/>
    <w:qFormat/>
    <w:uiPriority w:val="99"/>
    <w:rPr>
      <w:rFonts w:ascii="宋体" w:hAnsi="宋体" w:eastAsia="宋体" w:cs="宋体"/>
      <w:color w:val="000000"/>
      <w:sz w:val="18"/>
      <w:szCs w:val="18"/>
      <w:u w:val="none"/>
      <w:vertAlign w:val="superscript"/>
    </w:rPr>
  </w:style>
  <w:style w:type="character" w:customStyle="1" w:styleId="117">
    <w:name w:val="文档结构图 Char1"/>
    <w:semiHidden/>
    <w:qFormat/>
    <w:uiPriority w:val="99"/>
    <w:rPr>
      <w:rFonts w:ascii="宋体" w:hAnsi="Calibri" w:eastAsia="宋体" w:cs="宋体"/>
      <w:kern w:val="0"/>
      <w:sz w:val="18"/>
      <w:szCs w:val="18"/>
    </w:rPr>
  </w:style>
  <w:style w:type="character" w:customStyle="1" w:styleId="118">
    <w:name w:val="页眉 字符"/>
    <w:semiHidden/>
    <w:qFormat/>
    <w:uiPriority w:val="99"/>
    <w:rPr>
      <w:rFonts w:ascii="Calibri" w:hAnsi="Calibri" w:eastAsia="宋体" w:cs="Calibri"/>
      <w:sz w:val="18"/>
      <w:szCs w:val="18"/>
    </w:rPr>
  </w:style>
  <w:style w:type="paragraph" w:customStyle="1" w:styleId="119">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20">
    <w:name w:val="表格样式"/>
    <w:basedOn w:val="1"/>
    <w:link w:val="121"/>
    <w:qFormat/>
    <w:uiPriority w:val="0"/>
    <w:pPr>
      <w:jc w:val="center"/>
    </w:pPr>
    <w:rPr>
      <w:snapToGrid w:val="0"/>
      <w:kern w:val="0"/>
      <w:sz w:val="22"/>
    </w:rPr>
  </w:style>
  <w:style w:type="character" w:customStyle="1" w:styleId="121">
    <w:name w:val="表格样式 Char"/>
    <w:basedOn w:val="41"/>
    <w:link w:val="120"/>
    <w:qFormat/>
    <w:uiPriority w:val="0"/>
    <w:rPr>
      <w:rFonts w:ascii="Times New Roman" w:hAnsi="Times New Roman" w:eastAsia="宋体" w:cs="Times New Roman"/>
      <w:snapToGrid w:val="0"/>
      <w:kern w:val="0"/>
      <w:sz w:val="22"/>
      <w:szCs w:val="21"/>
    </w:rPr>
  </w:style>
  <w:style w:type="character" w:customStyle="1" w:styleId="122">
    <w:name w:val="正文缩进 Char2"/>
    <w:basedOn w:val="41"/>
    <w:qFormat/>
    <w:uiPriority w:val="0"/>
    <w:rPr>
      <w:rFonts w:eastAsia="宋体"/>
      <w:kern w:val="2"/>
      <w:sz w:val="28"/>
      <w:lang w:val="en-US" w:eastAsia="zh-CN" w:bidi="ar-SA"/>
    </w:rPr>
  </w:style>
  <w:style w:type="paragraph" w:customStyle="1" w:styleId="123">
    <w:name w:val="样式 报告 Char + 加粗 居中 首行缩进:  0.85 厘米 段后: 3 磅 行距: 1.5 倍行距"/>
    <w:basedOn w:val="1"/>
    <w:qFormat/>
    <w:uiPriority w:val="0"/>
    <w:pPr>
      <w:overflowPunct w:val="0"/>
      <w:autoSpaceDE w:val="0"/>
      <w:autoSpaceDN w:val="0"/>
      <w:adjustRightInd w:val="0"/>
      <w:spacing w:line="360" w:lineRule="auto"/>
      <w:jc w:val="center"/>
      <w:textAlignment w:val="baseline"/>
    </w:pPr>
    <w:rPr>
      <w:rFonts w:cs="宋体"/>
      <w:b/>
      <w:bCs/>
      <w:kern w:val="0"/>
      <w:sz w:val="24"/>
      <w:szCs w:val="20"/>
    </w:rPr>
  </w:style>
  <w:style w:type="paragraph" w:customStyle="1" w:styleId="124">
    <w:name w:val="表头"/>
    <w:basedOn w:val="1"/>
    <w:qFormat/>
    <w:uiPriority w:val="0"/>
    <w:pPr>
      <w:spacing w:line="360" w:lineRule="auto"/>
      <w:jc w:val="center"/>
    </w:pPr>
    <w:rPr>
      <w:b/>
      <w:sz w:val="24"/>
      <w:szCs w:val="24"/>
    </w:rPr>
  </w:style>
  <w:style w:type="paragraph" w:customStyle="1" w:styleId="125">
    <w:name w:val="报告正文0"/>
    <w:basedOn w:val="1"/>
    <w:link w:val="126"/>
    <w:qFormat/>
    <w:uiPriority w:val="0"/>
    <w:pPr>
      <w:spacing w:line="360" w:lineRule="auto"/>
      <w:ind w:firstLine="480" w:firstLineChars="200"/>
    </w:pPr>
    <w:rPr>
      <w:rFonts w:cs="宋体"/>
      <w:sz w:val="24"/>
      <w:szCs w:val="24"/>
    </w:rPr>
  </w:style>
  <w:style w:type="character" w:customStyle="1" w:styleId="126">
    <w:name w:val="报告正文0 Char Char"/>
    <w:basedOn w:val="41"/>
    <w:link w:val="125"/>
    <w:qFormat/>
    <w:uiPriority w:val="0"/>
    <w:rPr>
      <w:rFonts w:ascii="Times New Roman" w:hAnsi="Times New Roman" w:eastAsia="宋体" w:cs="宋体"/>
      <w:sz w:val="24"/>
      <w:szCs w:val="24"/>
    </w:rPr>
  </w:style>
  <w:style w:type="paragraph" w:customStyle="1" w:styleId="127">
    <w:name w:val="表标题"/>
    <w:basedOn w:val="38"/>
    <w:qFormat/>
    <w:uiPriority w:val="0"/>
    <w:pPr>
      <w:spacing w:after="0" w:line="360" w:lineRule="auto"/>
      <w:ind w:firstLine="0" w:firstLineChars="0"/>
      <w:jc w:val="center"/>
    </w:pPr>
    <w:rPr>
      <w:rFonts w:ascii="宋体" w:hAnsi="宋体" w:cs="TimesNewRomanPSMT"/>
      <w:b/>
      <w:bCs/>
      <w:kern w:val="20"/>
      <w:sz w:val="24"/>
    </w:rPr>
  </w:style>
  <w:style w:type="paragraph" w:customStyle="1" w:styleId="128">
    <w:name w:val="新格式表"/>
    <w:basedOn w:val="1"/>
    <w:qFormat/>
    <w:uiPriority w:val="0"/>
    <w:pPr>
      <w:spacing w:line="0" w:lineRule="atLeast"/>
      <w:jc w:val="center"/>
    </w:pPr>
    <w:rPr>
      <w:color w:val="000000"/>
    </w:rPr>
  </w:style>
  <w:style w:type="paragraph" w:customStyle="1" w:styleId="129">
    <w:name w:val="列出段落4"/>
    <w:basedOn w:val="1"/>
    <w:qFormat/>
    <w:uiPriority w:val="0"/>
    <w:pPr>
      <w:ind w:firstLine="420" w:firstLineChars="200"/>
    </w:pPr>
    <w:rPr>
      <w:rFonts w:ascii="Calibri" w:hAnsi="Calibri"/>
      <w:szCs w:val="22"/>
    </w:rPr>
  </w:style>
  <w:style w:type="table" w:customStyle="1" w:styleId="130">
    <w:name w:val="MFS表格"/>
    <w:basedOn w:val="39"/>
    <w:qFormat/>
    <w:uiPriority w:val="0"/>
    <w:pPr>
      <w:widowControl w:val="0"/>
      <w:snapToGrid w:val="0"/>
      <w:jc w:val="center"/>
    </w:pPr>
    <w:rPr>
      <w:rFonts w:asciiTheme="minorHAnsi" w:hAnsiTheme="minorHAnsi" w:eastAsiaTheme="minorEastAsia" w:cstheme="minorBidi"/>
      <w:sz w:val="18"/>
    </w:rPr>
    <w:tblPr>
      <w:tblBorders>
        <w:top w:val="single" w:color="000000" w:sz="12" w:space="0"/>
        <w:bottom w:val="single" w:color="000000" w:sz="12" w:space="0"/>
        <w:insideH w:val="single" w:color="000000" w:sz="6" w:space="0"/>
        <w:insideV w:val="single" w:color="000000" w:sz="6" w:space="0"/>
      </w:tblBorders>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paragraph" w:customStyle="1" w:styleId="131">
    <w:name w:val="甲乙酮正文"/>
    <w:basedOn w:val="38"/>
    <w:link w:val="132"/>
    <w:qFormat/>
    <w:uiPriority w:val="99"/>
    <w:pPr>
      <w:spacing w:after="0" w:line="360" w:lineRule="auto"/>
      <w:ind w:firstLine="200" w:firstLineChars="200"/>
      <w:jc w:val="left"/>
    </w:pPr>
    <w:rPr>
      <w:color w:val="000000"/>
      <w:sz w:val="24"/>
      <w:szCs w:val="24"/>
    </w:rPr>
  </w:style>
  <w:style w:type="character" w:customStyle="1" w:styleId="132">
    <w:name w:val="甲乙酮正文 Char"/>
    <w:link w:val="131"/>
    <w:qFormat/>
    <w:uiPriority w:val="99"/>
    <w:rPr>
      <w:rFonts w:ascii="Times New Roman" w:hAnsi="Times New Roman"/>
      <w:color w:val="000000"/>
      <w:kern w:val="2"/>
      <w:sz w:val="24"/>
      <w:szCs w:val="24"/>
    </w:rPr>
  </w:style>
  <w:style w:type="paragraph" w:customStyle="1" w:styleId="133">
    <w:name w:val="Normal_4b758a95-a8e3-466b-b810-fc374824577a"/>
    <w:qFormat/>
    <w:uiPriority w:val="0"/>
    <w:pPr>
      <w:widowControl w:val="0"/>
      <w:jc w:val="both"/>
    </w:pPr>
    <w:rPr>
      <w:rFonts w:ascii="宋体" w:hAnsi="Times New Roman" w:eastAsia="宋体" w:cs="Times New Roman"/>
      <w:color w:val="000000"/>
      <w:sz w:val="24"/>
      <w:szCs w:val="22"/>
      <w:lang w:val="en-US" w:eastAsia="zh-CN" w:bidi="ar-SA"/>
    </w:rPr>
  </w:style>
  <w:style w:type="paragraph" w:customStyle="1" w:styleId="134">
    <w:name w:val="Normal_2ea75a55-6256-41f0-ba26-501a9716fd62"/>
    <w:qFormat/>
    <w:uiPriority w:val="0"/>
    <w:pPr>
      <w:widowControl w:val="0"/>
      <w:jc w:val="both"/>
    </w:pPr>
    <w:rPr>
      <w:rFonts w:ascii="宋体" w:hAnsi="Times New Roman" w:eastAsia="宋体" w:cs="Times New Roman"/>
      <w:color w:val="000000"/>
      <w:sz w:val="24"/>
      <w:szCs w:val="22"/>
      <w:lang w:val="en-US" w:eastAsia="zh-CN" w:bidi="ar-SA"/>
    </w:rPr>
  </w:style>
  <w:style w:type="paragraph" w:customStyle="1" w:styleId="135">
    <w:name w:val="Normal_309f44d5-f823-4c01-ba00-b94e9dc9d197"/>
    <w:qFormat/>
    <w:uiPriority w:val="0"/>
    <w:pPr>
      <w:widowControl w:val="0"/>
      <w:jc w:val="both"/>
    </w:pPr>
    <w:rPr>
      <w:rFonts w:ascii="宋体" w:hAnsi="Times New Roman" w:eastAsia="宋体" w:cs="Times New Roman"/>
      <w:color w:val="000000"/>
      <w:sz w:val="24"/>
      <w:szCs w:val="22"/>
      <w:lang w:val="en-US" w:eastAsia="zh-CN" w:bidi="ar-SA"/>
    </w:rPr>
  </w:style>
  <w:style w:type="paragraph" w:customStyle="1" w:styleId="136">
    <w:name w:val="Normal_9daf659e-cc92-4573-9f83-40b478aace6b"/>
    <w:qFormat/>
    <w:uiPriority w:val="0"/>
    <w:pPr>
      <w:widowControl w:val="0"/>
      <w:jc w:val="both"/>
    </w:pPr>
    <w:rPr>
      <w:rFonts w:ascii="宋体" w:hAnsi="Times New Roman" w:eastAsia="宋体" w:cs="Times New Roman"/>
      <w:color w:val="000000"/>
      <w:sz w:val="24"/>
      <w:szCs w:val="22"/>
      <w:lang w:val="en-US" w:eastAsia="zh-CN" w:bidi="ar-SA"/>
    </w:rPr>
  </w:style>
  <w:style w:type="paragraph" w:customStyle="1" w:styleId="137">
    <w:name w:val="表格填充1"/>
    <w:basedOn w:val="26"/>
    <w:qFormat/>
    <w:uiPriority w:val="0"/>
    <w:pPr>
      <w:snapToGrid w:val="0"/>
    </w:pPr>
    <w:rPr>
      <w:rFonts w:ascii="Times New Roman" w:hAnsi="Times New Roman" w:eastAsia="仿宋_GB2312"/>
      <w:kern w:val="2"/>
      <w:sz w:val="28"/>
    </w:rPr>
  </w:style>
  <w:style w:type="paragraph" w:customStyle="1" w:styleId="138">
    <w:name w:val="Normal_4452daf6-b860-4ead-841e-271eb3e2c8a2"/>
    <w:qFormat/>
    <w:uiPriority w:val="0"/>
    <w:pPr>
      <w:widowControl w:val="0"/>
      <w:jc w:val="both"/>
    </w:pPr>
    <w:rPr>
      <w:rFonts w:ascii="宋体" w:hAnsi="Times New Roman" w:eastAsia="宋体" w:cs="Times New Roman"/>
      <w:color w:val="000000"/>
      <w:sz w:val="24"/>
      <w:szCs w:val="22"/>
      <w:lang w:val="en-US" w:eastAsia="zh-CN" w:bidi="ar-SA"/>
    </w:rPr>
  </w:style>
  <w:style w:type="paragraph" w:customStyle="1" w:styleId="139">
    <w:name w:val="Normal_edb22bc5-868c-4594-a957-fe3ab760cce3"/>
    <w:qFormat/>
    <w:uiPriority w:val="0"/>
    <w:pPr>
      <w:widowControl w:val="0"/>
      <w:jc w:val="both"/>
    </w:pPr>
    <w:rPr>
      <w:rFonts w:ascii="宋体" w:hAnsi="Times New Roman" w:eastAsia="宋体" w:cs="Times New Roman"/>
      <w:color w:val="000000"/>
      <w:sz w:val="24"/>
      <w:szCs w:val="22"/>
      <w:lang w:val="en-US" w:eastAsia="zh-CN" w:bidi="ar-SA"/>
    </w:rPr>
  </w:style>
  <w:style w:type="paragraph" w:customStyle="1" w:styleId="140">
    <w:name w:val="Normal_95a8dfc0-0445-45de-bd2e-c061f20a181d"/>
    <w:qFormat/>
    <w:uiPriority w:val="0"/>
    <w:pPr>
      <w:widowControl w:val="0"/>
      <w:jc w:val="both"/>
    </w:pPr>
    <w:rPr>
      <w:rFonts w:ascii="宋体" w:hAnsi="Times New Roman" w:eastAsia="宋体" w:cs="Times New Roman"/>
      <w:color w:val="000000"/>
      <w:sz w:val="24"/>
      <w:szCs w:val="22"/>
      <w:lang w:val="en-US" w:eastAsia="zh-CN" w:bidi="ar-SA"/>
    </w:rPr>
  </w:style>
  <w:style w:type="paragraph" w:customStyle="1" w:styleId="141">
    <w:name w:val="Normal_fde001d4-891e-4fe0-8fd5-ecb7312fb2be"/>
    <w:qFormat/>
    <w:uiPriority w:val="0"/>
    <w:pPr>
      <w:widowControl w:val="0"/>
      <w:jc w:val="both"/>
    </w:pPr>
    <w:rPr>
      <w:rFonts w:ascii="宋体" w:hAnsi="Times New Roman" w:eastAsia="宋体" w:cs="Times New Roman"/>
      <w:color w:val="000000"/>
      <w:sz w:val="24"/>
      <w:szCs w:val="22"/>
      <w:lang w:val="en-US" w:eastAsia="zh-CN" w:bidi="ar-SA"/>
    </w:rPr>
  </w:style>
</w:styles>
</file>

<file path=word/_rels/document.xml.rels><?xml version="1.0" encoding="UTF-8" standalone="yes"?>
<Relationships xmlns="http://schemas.openxmlformats.org/package/2006/relationships"><Relationship Id="rId99" Type="http://schemas.openxmlformats.org/officeDocument/2006/relationships/image" Target="media/image77.jpeg"/><Relationship Id="rId98" Type="http://schemas.openxmlformats.org/officeDocument/2006/relationships/image" Target="media/image76.jpeg"/><Relationship Id="rId97" Type="http://schemas.openxmlformats.org/officeDocument/2006/relationships/image" Target="media/image75.jpeg"/><Relationship Id="rId96" Type="http://schemas.openxmlformats.org/officeDocument/2006/relationships/image" Target="media/image74.jpeg"/><Relationship Id="rId95" Type="http://schemas.openxmlformats.org/officeDocument/2006/relationships/image" Target="media/image73.jpeg"/><Relationship Id="rId94" Type="http://schemas.openxmlformats.org/officeDocument/2006/relationships/image" Target="media/image72.jpeg"/><Relationship Id="rId93" Type="http://schemas.openxmlformats.org/officeDocument/2006/relationships/image" Target="media/image71.jpeg"/><Relationship Id="rId92" Type="http://schemas.openxmlformats.org/officeDocument/2006/relationships/image" Target="media/image70.jpeg"/><Relationship Id="rId91" Type="http://schemas.openxmlformats.org/officeDocument/2006/relationships/image" Target="media/image69.jpeg"/><Relationship Id="rId90" Type="http://schemas.openxmlformats.org/officeDocument/2006/relationships/image" Target="media/image68.jpeg"/><Relationship Id="rId9" Type="http://schemas.openxmlformats.org/officeDocument/2006/relationships/footer" Target="footer6.xml"/><Relationship Id="rId89" Type="http://schemas.openxmlformats.org/officeDocument/2006/relationships/image" Target="media/image67.jpeg"/><Relationship Id="rId88" Type="http://schemas.openxmlformats.org/officeDocument/2006/relationships/image" Target="media/image66.jpeg"/><Relationship Id="rId87" Type="http://schemas.openxmlformats.org/officeDocument/2006/relationships/image" Target="media/image65.jpeg"/><Relationship Id="rId86" Type="http://schemas.openxmlformats.org/officeDocument/2006/relationships/image" Target="media/image64.jpeg"/><Relationship Id="rId85" Type="http://schemas.openxmlformats.org/officeDocument/2006/relationships/image" Target="media/image63.png"/><Relationship Id="rId84" Type="http://schemas.openxmlformats.org/officeDocument/2006/relationships/image" Target="media/image62.png"/><Relationship Id="rId83" Type="http://schemas.openxmlformats.org/officeDocument/2006/relationships/image" Target="media/image61.png"/><Relationship Id="rId82" Type="http://schemas.openxmlformats.org/officeDocument/2006/relationships/image" Target="media/image60.png"/><Relationship Id="rId81" Type="http://schemas.openxmlformats.org/officeDocument/2006/relationships/image" Target="media/image59.jpeg"/><Relationship Id="rId80" Type="http://schemas.openxmlformats.org/officeDocument/2006/relationships/image" Target="media/image58.png"/><Relationship Id="rId8" Type="http://schemas.openxmlformats.org/officeDocument/2006/relationships/footer" Target="footer5.xml"/><Relationship Id="rId79" Type="http://schemas.openxmlformats.org/officeDocument/2006/relationships/image" Target="media/image57.png"/><Relationship Id="rId78" Type="http://schemas.openxmlformats.org/officeDocument/2006/relationships/image" Target="media/image56.png"/><Relationship Id="rId77" Type="http://schemas.openxmlformats.org/officeDocument/2006/relationships/image" Target="media/image55.png"/><Relationship Id="rId76" Type="http://schemas.openxmlformats.org/officeDocument/2006/relationships/image" Target="media/image54.png"/><Relationship Id="rId75" Type="http://schemas.openxmlformats.org/officeDocument/2006/relationships/image" Target="media/image53.png"/><Relationship Id="rId74" Type="http://schemas.openxmlformats.org/officeDocument/2006/relationships/image" Target="media/image52.png"/><Relationship Id="rId73" Type="http://schemas.openxmlformats.org/officeDocument/2006/relationships/image" Target="media/image51.png"/><Relationship Id="rId72" Type="http://schemas.openxmlformats.org/officeDocument/2006/relationships/image" Target="media/image50.jpeg"/><Relationship Id="rId71" Type="http://schemas.openxmlformats.org/officeDocument/2006/relationships/image" Target="media/image49.jpeg"/><Relationship Id="rId70" Type="http://schemas.openxmlformats.org/officeDocument/2006/relationships/image" Target="media/image48.jpeg"/><Relationship Id="rId7" Type="http://schemas.openxmlformats.org/officeDocument/2006/relationships/footer" Target="footer4.xml"/><Relationship Id="rId69" Type="http://schemas.openxmlformats.org/officeDocument/2006/relationships/image" Target="media/image47.png"/><Relationship Id="rId68" Type="http://schemas.openxmlformats.org/officeDocument/2006/relationships/image" Target="media/image46.png"/><Relationship Id="rId67" Type="http://schemas.openxmlformats.org/officeDocument/2006/relationships/image" Target="media/image45.png"/><Relationship Id="rId66" Type="http://schemas.openxmlformats.org/officeDocument/2006/relationships/image" Target="media/image44.png"/><Relationship Id="rId65" Type="http://schemas.openxmlformats.org/officeDocument/2006/relationships/image" Target="media/image43.png"/><Relationship Id="rId64" Type="http://schemas.openxmlformats.org/officeDocument/2006/relationships/image" Target="media/image42.png"/><Relationship Id="rId63" Type="http://schemas.openxmlformats.org/officeDocument/2006/relationships/image" Target="media/image41.png"/><Relationship Id="rId62" Type="http://schemas.openxmlformats.org/officeDocument/2006/relationships/image" Target="media/image40.png"/><Relationship Id="rId61" Type="http://schemas.openxmlformats.org/officeDocument/2006/relationships/image" Target="media/image39.png"/><Relationship Id="rId60" Type="http://schemas.openxmlformats.org/officeDocument/2006/relationships/image" Target="media/image38.png"/><Relationship Id="rId6" Type="http://schemas.openxmlformats.org/officeDocument/2006/relationships/footer" Target="footer3.xml"/><Relationship Id="rId59" Type="http://schemas.openxmlformats.org/officeDocument/2006/relationships/image" Target="media/image37.png"/><Relationship Id="rId58" Type="http://schemas.openxmlformats.org/officeDocument/2006/relationships/image" Target="media/image36.png"/><Relationship Id="rId57" Type="http://schemas.openxmlformats.org/officeDocument/2006/relationships/image" Target="media/image35.png"/><Relationship Id="rId56" Type="http://schemas.openxmlformats.org/officeDocument/2006/relationships/image" Target="media/image34.png"/><Relationship Id="rId55" Type="http://schemas.openxmlformats.org/officeDocument/2006/relationships/image" Target="media/image33.png"/><Relationship Id="rId54" Type="http://schemas.openxmlformats.org/officeDocument/2006/relationships/image" Target="media/image32.png"/><Relationship Id="rId53" Type="http://schemas.openxmlformats.org/officeDocument/2006/relationships/image" Target="media/image31.png"/><Relationship Id="rId52" Type="http://schemas.openxmlformats.org/officeDocument/2006/relationships/image" Target="media/image30.png"/><Relationship Id="rId51" Type="http://schemas.openxmlformats.org/officeDocument/2006/relationships/image" Target="media/image29.png"/><Relationship Id="rId50" Type="http://schemas.openxmlformats.org/officeDocument/2006/relationships/image" Target="media/image28.png"/><Relationship Id="rId5" Type="http://schemas.openxmlformats.org/officeDocument/2006/relationships/footer" Target="footer2.xml"/><Relationship Id="rId49" Type="http://schemas.openxmlformats.org/officeDocument/2006/relationships/image" Target="media/image27.png"/><Relationship Id="rId48" Type="http://schemas.openxmlformats.org/officeDocument/2006/relationships/image" Target="media/image26.png"/><Relationship Id="rId47" Type="http://schemas.openxmlformats.org/officeDocument/2006/relationships/image" Target="media/image25.png"/><Relationship Id="rId46" Type="http://schemas.openxmlformats.org/officeDocument/2006/relationships/image" Target="media/image24.png"/><Relationship Id="rId45" Type="http://schemas.openxmlformats.org/officeDocument/2006/relationships/image" Target="media/image23.png"/><Relationship Id="rId44" Type="http://schemas.openxmlformats.org/officeDocument/2006/relationships/image" Target="media/image22.png"/><Relationship Id="rId43" Type="http://schemas.openxmlformats.org/officeDocument/2006/relationships/image" Target="media/image21.png"/><Relationship Id="rId42" Type="http://schemas.openxmlformats.org/officeDocument/2006/relationships/image" Target="media/image20.png"/><Relationship Id="rId41" Type="http://schemas.openxmlformats.org/officeDocument/2006/relationships/image" Target="media/image19.png"/><Relationship Id="rId40" Type="http://schemas.openxmlformats.org/officeDocument/2006/relationships/image" Target="media/image18.png"/><Relationship Id="rId4" Type="http://schemas.openxmlformats.org/officeDocument/2006/relationships/footer" Target="footer1.xml"/><Relationship Id="rId39" Type="http://schemas.openxmlformats.org/officeDocument/2006/relationships/image" Target="media/image17.jpeg"/><Relationship Id="rId38" Type="http://schemas.openxmlformats.org/officeDocument/2006/relationships/image" Target="media/image16.png"/><Relationship Id="rId37" Type="http://schemas.openxmlformats.org/officeDocument/2006/relationships/image" Target="media/image15.png"/><Relationship Id="rId36" Type="http://schemas.openxmlformats.org/officeDocument/2006/relationships/image" Target="media/image14.png"/><Relationship Id="rId35" Type="http://schemas.openxmlformats.org/officeDocument/2006/relationships/image" Target="media/image13.png"/><Relationship Id="rId34" Type="http://schemas.openxmlformats.org/officeDocument/2006/relationships/image" Target="media/image12.png"/><Relationship Id="rId33" Type="http://schemas.openxmlformats.org/officeDocument/2006/relationships/image" Target="media/image11.png"/><Relationship Id="rId32" Type="http://schemas.openxmlformats.org/officeDocument/2006/relationships/image" Target="media/image10.png"/><Relationship Id="rId31" Type="http://schemas.openxmlformats.org/officeDocument/2006/relationships/image" Target="media/image9.png"/><Relationship Id="rId30" Type="http://schemas.openxmlformats.org/officeDocument/2006/relationships/image" Target="media/image8.png"/><Relationship Id="rId3" Type="http://schemas.openxmlformats.org/officeDocument/2006/relationships/header" Target="header1.xml"/><Relationship Id="rId29" Type="http://schemas.openxmlformats.org/officeDocument/2006/relationships/image" Target="media/image7.png"/><Relationship Id="rId28" Type="http://schemas.openxmlformats.org/officeDocument/2006/relationships/image" Target="media/image6.png"/><Relationship Id="rId27" Type="http://schemas.openxmlformats.org/officeDocument/2006/relationships/image" Target="media/image5.png"/><Relationship Id="rId26" Type="http://schemas.openxmlformats.org/officeDocument/2006/relationships/image" Target="media/image4.png"/><Relationship Id="rId25" Type="http://schemas.openxmlformats.org/officeDocument/2006/relationships/image" Target="media/image3.png"/><Relationship Id="rId24" Type="http://schemas.openxmlformats.org/officeDocument/2006/relationships/image" Target="media/image2.png"/><Relationship Id="rId23" Type="http://schemas.openxmlformats.org/officeDocument/2006/relationships/image" Target="media/image1.jpeg"/><Relationship Id="rId22" Type="http://schemas.openxmlformats.org/officeDocument/2006/relationships/theme" Target="theme/theme1.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header" Target="header2.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4" Type="http://schemas.openxmlformats.org/officeDocument/2006/relationships/fontTable" Target="fontTable.xml"/><Relationship Id="rId143" Type="http://schemas.openxmlformats.org/officeDocument/2006/relationships/customXml" Target="../customXml/item2.xml"/><Relationship Id="rId142" Type="http://schemas.openxmlformats.org/officeDocument/2006/relationships/numbering" Target="numbering.xml"/><Relationship Id="rId141" Type="http://schemas.openxmlformats.org/officeDocument/2006/relationships/customXml" Target="../customXml/item1.xml"/><Relationship Id="rId140" Type="http://schemas.openxmlformats.org/officeDocument/2006/relationships/image" Target="media/image118.jpeg"/><Relationship Id="rId14" Type="http://schemas.openxmlformats.org/officeDocument/2006/relationships/footer" Target="footer11.xml"/><Relationship Id="rId139" Type="http://schemas.openxmlformats.org/officeDocument/2006/relationships/image" Target="media/image117.jpeg"/><Relationship Id="rId138" Type="http://schemas.openxmlformats.org/officeDocument/2006/relationships/image" Target="media/image116.jpeg"/><Relationship Id="rId137" Type="http://schemas.openxmlformats.org/officeDocument/2006/relationships/image" Target="media/image115.jpeg"/><Relationship Id="rId136" Type="http://schemas.openxmlformats.org/officeDocument/2006/relationships/image" Target="media/image114.jpeg"/><Relationship Id="rId135" Type="http://schemas.openxmlformats.org/officeDocument/2006/relationships/image" Target="media/image113.jpeg"/><Relationship Id="rId134" Type="http://schemas.openxmlformats.org/officeDocument/2006/relationships/image" Target="media/image112.jpeg"/><Relationship Id="rId133" Type="http://schemas.openxmlformats.org/officeDocument/2006/relationships/image" Target="media/image111.jpeg"/><Relationship Id="rId132" Type="http://schemas.openxmlformats.org/officeDocument/2006/relationships/image" Target="media/image110.jpeg"/><Relationship Id="rId131" Type="http://schemas.openxmlformats.org/officeDocument/2006/relationships/image" Target="media/image109.jpeg"/><Relationship Id="rId130" Type="http://schemas.openxmlformats.org/officeDocument/2006/relationships/image" Target="media/image108.jpeg"/><Relationship Id="rId13" Type="http://schemas.openxmlformats.org/officeDocument/2006/relationships/footer" Target="footer10.xml"/><Relationship Id="rId129" Type="http://schemas.openxmlformats.org/officeDocument/2006/relationships/image" Target="media/image107.jpeg"/><Relationship Id="rId128" Type="http://schemas.openxmlformats.org/officeDocument/2006/relationships/image" Target="media/image106.jpeg"/><Relationship Id="rId127" Type="http://schemas.openxmlformats.org/officeDocument/2006/relationships/image" Target="media/image105.jpeg"/><Relationship Id="rId126" Type="http://schemas.openxmlformats.org/officeDocument/2006/relationships/image" Target="media/image104.jpeg"/><Relationship Id="rId125" Type="http://schemas.openxmlformats.org/officeDocument/2006/relationships/image" Target="media/image103.jpeg"/><Relationship Id="rId124" Type="http://schemas.openxmlformats.org/officeDocument/2006/relationships/image" Target="media/image102.jpeg"/><Relationship Id="rId123" Type="http://schemas.openxmlformats.org/officeDocument/2006/relationships/image" Target="media/image101.jpeg"/><Relationship Id="rId122" Type="http://schemas.openxmlformats.org/officeDocument/2006/relationships/image" Target="media/image100.jpeg"/><Relationship Id="rId121" Type="http://schemas.openxmlformats.org/officeDocument/2006/relationships/image" Target="media/image99.jpeg"/><Relationship Id="rId120" Type="http://schemas.openxmlformats.org/officeDocument/2006/relationships/image" Target="media/image98.jpeg"/><Relationship Id="rId12" Type="http://schemas.openxmlformats.org/officeDocument/2006/relationships/footer" Target="footer9.xml"/><Relationship Id="rId119" Type="http://schemas.openxmlformats.org/officeDocument/2006/relationships/image" Target="media/image97.jpeg"/><Relationship Id="rId118" Type="http://schemas.openxmlformats.org/officeDocument/2006/relationships/image" Target="media/image96.jpeg"/><Relationship Id="rId117" Type="http://schemas.openxmlformats.org/officeDocument/2006/relationships/image" Target="media/image95.jpeg"/><Relationship Id="rId116" Type="http://schemas.openxmlformats.org/officeDocument/2006/relationships/image" Target="media/image94.jpeg"/><Relationship Id="rId115" Type="http://schemas.openxmlformats.org/officeDocument/2006/relationships/image" Target="media/image93.jpeg"/><Relationship Id="rId114" Type="http://schemas.openxmlformats.org/officeDocument/2006/relationships/image" Target="media/image92.jpeg"/><Relationship Id="rId113" Type="http://schemas.openxmlformats.org/officeDocument/2006/relationships/image" Target="media/image91.jpeg"/><Relationship Id="rId112" Type="http://schemas.openxmlformats.org/officeDocument/2006/relationships/image" Target="media/image90.jpeg"/><Relationship Id="rId111" Type="http://schemas.openxmlformats.org/officeDocument/2006/relationships/image" Target="media/image89.jpeg"/><Relationship Id="rId110" Type="http://schemas.openxmlformats.org/officeDocument/2006/relationships/image" Target="media/image88.jpeg"/><Relationship Id="rId11" Type="http://schemas.openxmlformats.org/officeDocument/2006/relationships/footer" Target="footer8.xml"/><Relationship Id="rId109" Type="http://schemas.openxmlformats.org/officeDocument/2006/relationships/image" Target="media/image87.jpeg"/><Relationship Id="rId108" Type="http://schemas.openxmlformats.org/officeDocument/2006/relationships/image" Target="media/image86.jpeg"/><Relationship Id="rId107" Type="http://schemas.openxmlformats.org/officeDocument/2006/relationships/image" Target="media/image85.jpeg"/><Relationship Id="rId106" Type="http://schemas.openxmlformats.org/officeDocument/2006/relationships/image" Target="media/image84.jpeg"/><Relationship Id="rId105" Type="http://schemas.openxmlformats.org/officeDocument/2006/relationships/image" Target="media/image83.jpeg"/><Relationship Id="rId104" Type="http://schemas.openxmlformats.org/officeDocument/2006/relationships/image" Target="media/image82.jpeg"/><Relationship Id="rId103" Type="http://schemas.openxmlformats.org/officeDocument/2006/relationships/image" Target="media/image81.jpeg"/><Relationship Id="rId102" Type="http://schemas.openxmlformats.org/officeDocument/2006/relationships/image" Target="media/image80.jpeg"/><Relationship Id="rId101" Type="http://schemas.openxmlformats.org/officeDocument/2006/relationships/image" Target="media/image79.jpeg"/><Relationship Id="rId100" Type="http://schemas.openxmlformats.org/officeDocument/2006/relationships/image" Target="media/image78.jpeg"/><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552EBE-48C2-4773-BE67-BAFDBD8D4FA1}">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170</Pages>
  <Words>26547</Words>
  <Characters>34630</Characters>
  <Lines>301</Lines>
  <Paragraphs>84</Paragraphs>
  <TotalTime>167</TotalTime>
  <ScaleCrop>false</ScaleCrop>
  <LinksUpToDate>false</LinksUpToDate>
  <CharactersWithSpaces>35173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2023-09-16T03:06:00Z</dcterms:created>
  <dc:creator>刘杨</dc:creator>
  <cp:lastModifiedBy>泡芙</cp:lastModifiedBy>
  <cp:lastPrinted>2023-11-03T01:31:00Z</cp:lastPrinted>
  <dcterms:modified xsi:type="dcterms:W3CDTF">2024-08-08T06:29:25Z</dcterms:modified>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6E545F117C654113B2CF645FC860671E_12</vt:lpwstr>
  </property>
</Properties>
</file>