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2A1" w:rsidRDefault="00D032A1" w:rsidP="00D032A1">
      <w:pPr>
        <w:pStyle w:val="a5"/>
        <w:spacing w:line="600" w:lineRule="exact"/>
        <w:rPr>
          <w:rFonts w:ascii="黑体" w:eastAsia="黑体"/>
          <w:b/>
        </w:rPr>
      </w:pPr>
      <w:r w:rsidRPr="00D032A1">
        <w:rPr>
          <w:rFonts w:ascii="黑体" w:eastAsia="黑体" w:hint="eastAsia"/>
          <w:b/>
        </w:rPr>
        <w:t>山东承润防水材料股份有限公司</w:t>
      </w:r>
    </w:p>
    <w:p w:rsidR="00D032A1" w:rsidRDefault="00D032A1" w:rsidP="00D032A1">
      <w:pPr>
        <w:pStyle w:val="a5"/>
        <w:spacing w:line="600" w:lineRule="exact"/>
        <w:rPr>
          <w:rFonts w:ascii="黑体" w:eastAsia="黑体"/>
          <w:b/>
        </w:rPr>
      </w:pPr>
      <w:r>
        <w:rPr>
          <w:rFonts w:ascii="黑体" w:eastAsia="黑体" w:hint="eastAsia"/>
          <w:b/>
        </w:rPr>
        <w:t>（原</w:t>
      </w:r>
      <w:r w:rsidRPr="00D032A1">
        <w:rPr>
          <w:rFonts w:ascii="黑体" w:eastAsia="黑体" w:hint="eastAsia"/>
          <w:b/>
        </w:rPr>
        <w:t>寿光市承润防水材料有限公司</w:t>
      </w:r>
      <w:r>
        <w:rPr>
          <w:rFonts w:ascii="黑体" w:eastAsia="黑体" w:hint="eastAsia"/>
          <w:b/>
        </w:rPr>
        <w:t>）</w:t>
      </w:r>
    </w:p>
    <w:p w:rsidR="00FB1A22" w:rsidRDefault="00176C52" w:rsidP="00D032A1">
      <w:pPr>
        <w:pStyle w:val="a5"/>
        <w:spacing w:line="600" w:lineRule="exact"/>
        <w:rPr>
          <w:rFonts w:ascii="黑体" w:eastAsia="黑体"/>
          <w:b/>
        </w:rPr>
      </w:pPr>
      <w:r>
        <w:rPr>
          <w:rFonts w:ascii="黑体" w:eastAsia="黑体" w:hint="eastAsia"/>
          <w:b/>
        </w:rPr>
        <w:t>3000万平方米/年防水卷材项目竣工环境保护验收意见</w:t>
      </w:r>
    </w:p>
    <w:p w:rsidR="00FB1A22" w:rsidRDefault="00176C52">
      <w:pPr>
        <w:spacing w:line="560" w:lineRule="exact"/>
        <w:ind w:firstLine="648"/>
        <w:rPr>
          <w:color w:val="000000"/>
        </w:rPr>
      </w:pPr>
      <w:r>
        <w:rPr>
          <w:rFonts w:hint="eastAsia"/>
          <w:color w:val="000000"/>
        </w:rPr>
        <w:t>根据《建设项目环境保护管理条例》要求，2017年12月23日，</w:t>
      </w:r>
      <w:r w:rsidR="00D032A1" w:rsidRPr="00D032A1">
        <w:rPr>
          <w:rFonts w:hint="eastAsia"/>
          <w:color w:val="000000"/>
        </w:rPr>
        <w:t>山东承润防水材料股份有限公司</w:t>
      </w:r>
      <w:r>
        <w:rPr>
          <w:rFonts w:hint="eastAsia"/>
          <w:color w:val="000000"/>
        </w:rPr>
        <w:t>在寿光市组织召开了</w:t>
      </w:r>
      <w:r w:rsidR="00D032A1" w:rsidRPr="00D032A1">
        <w:rPr>
          <w:rFonts w:hint="eastAsia"/>
          <w:color w:val="000000"/>
        </w:rPr>
        <w:t>山东承润防水材料股份有限公司</w:t>
      </w:r>
      <w:r>
        <w:rPr>
          <w:rFonts w:hint="eastAsia"/>
          <w:color w:val="000000"/>
        </w:rPr>
        <w:t>3000万平方米/年防水卷材项目竣工环境保护验收会议。验收组由建设单位-</w:t>
      </w:r>
      <w:r w:rsidR="00D032A1" w:rsidRPr="00D032A1">
        <w:rPr>
          <w:rFonts w:hint="eastAsia"/>
          <w:color w:val="000000"/>
        </w:rPr>
        <w:t>山东承润防水材料股份有限公司</w:t>
      </w:r>
      <w:r>
        <w:rPr>
          <w:rFonts w:hint="eastAsia"/>
          <w:color w:val="000000"/>
        </w:rPr>
        <w:t>、验收报告编制单位-山东潍科检测服务有限公司及3名特邀专家（名单附后）组成。验收组听取了该工程环境保护执行情况和竣工环境保护验收监测情况的汇报，对该工程环境保护设施的建设、运行情况进行了现场检查，核实了有关资料。经认真讨论，形成竣工环境保护验收意见如下：</w:t>
      </w:r>
    </w:p>
    <w:p w:rsidR="00FB1A22" w:rsidRDefault="00176C52">
      <w:pPr>
        <w:spacing w:line="560" w:lineRule="exact"/>
        <w:ind w:left="650" w:firstLineChars="0" w:firstLine="0"/>
        <w:rPr>
          <w:rFonts w:hAnsi="楷体_GB2312"/>
          <w:b/>
          <w:color w:val="000000"/>
        </w:rPr>
      </w:pPr>
      <w:r>
        <w:rPr>
          <w:rFonts w:hAnsi="楷体_GB2312" w:hint="eastAsia"/>
          <w:b/>
          <w:color w:val="000000"/>
        </w:rPr>
        <w:t>一、工程建设的基本情况</w:t>
      </w:r>
    </w:p>
    <w:p w:rsidR="00FB1A22" w:rsidRDefault="00176C52">
      <w:pPr>
        <w:spacing w:line="560" w:lineRule="exact"/>
        <w:ind w:firstLine="648"/>
      </w:pPr>
      <w:r>
        <w:rPr>
          <w:rFonts w:hint="eastAsia"/>
        </w:rPr>
        <w:t>1、工程概况</w:t>
      </w:r>
    </w:p>
    <w:p w:rsidR="00FB1A22" w:rsidRDefault="00176C52" w:rsidP="009E2308">
      <w:pPr>
        <w:spacing w:line="560" w:lineRule="exact"/>
        <w:ind w:firstLine="648"/>
      </w:pPr>
      <w:r>
        <w:t>该</w:t>
      </w:r>
      <w:r>
        <w:rPr>
          <w:rFonts w:hint="eastAsia"/>
        </w:rPr>
        <w:t>项目位于寿光市台头镇东庄村路口北</w:t>
      </w:r>
      <w:r>
        <w:t>1公里路西，总投资5330万元，其中环保投资101万元。主要</w:t>
      </w:r>
      <w:r>
        <w:rPr>
          <w:rFonts w:hint="eastAsia"/>
        </w:rPr>
        <w:t>利用原有闲置生产车间3座，主要产品为弹性体改性沥青防水卷材，配套建设仓库、配电室等其他附属房。采用导热油炉提供热源。</w:t>
      </w:r>
      <w:r w:rsidR="009E2308">
        <w:rPr>
          <w:rFonts w:hint="eastAsia"/>
        </w:rPr>
        <w:t>聚乙烯丙纶复合防水卷材和聚氯乙烯防水卷材项目</w:t>
      </w:r>
      <w:r>
        <w:rPr>
          <w:rFonts w:hint="eastAsia"/>
        </w:rPr>
        <w:t>不再建设。</w:t>
      </w:r>
    </w:p>
    <w:p w:rsidR="00FB1A22" w:rsidRDefault="00176C52">
      <w:pPr>
        <w:spacing w:line="560" w:lineRule="exact"/>
        <w:ind w:firstLine="648"/>
      </w:pPr>
      <w:r>
        <w:rPr>
          <w:rFonts w:hint="eastAsia"/>
        </w:rPr>
        <w:t>宁夏华之洁环境技术有限公司于</w:t>
      </w:r>
      <w:r>
        <w:t>2016年11月编制完成了《寿光市承润防水材料有限公司3000万平方米/年防水卷材项目环境影响报告表》，寿光市环境保护局2016年11月18日对本项目环境影响报告表进行了批复。</w:t>
      </w:r>
    </w:p>
    <w:p w:rsidR="00FB1A22" w:rsidRDefault="00176C52">
      <w:pPr>
        <w:spacing w:line="560" w:lineRule="exact"/>
        <w:ind w:firstLine="648"/>
        <w:rPr>
          <w:rFonts w:ascii="宋体"/>
        </w:rPr>
      </w:pPr>
      <w:r>
        <w:rPr>
          <w:rFonts w:hint="eastAsia"/>
        </w:rPr>
        <w:t>2、工程变</w:t>
      </w:r>
      <w:r>
        <w:rPr>
          <w:rFonts w:ascii="宋体" w:hint="eastAsia"/>
        </w:rPr>
        <w:t>更情况</w:t>
      </w:r>
    </w:p>
    <w:p w:rsidR="00FB1A22" w:rsidRDefault="00176C52">
      <w:pPr>
        <w:spacing w:line="560" w:lineRule="exact"/>
        <w:ind w:firstLine="648"/>
        <w:rPr>
          <w:rFonts w:ascii="宋体"/>
        </w:rPr>
      </w:pPr>
      <w:r>
        <w:rPr>
          <w:rFonts w:ascii="宋体" w:hint="eastAsia"/>
        </w:rPr>
        <w:lastRenderedPageBreak/>
        <w:t>根据验收监测报告，与环评阶段比较，本工程主要变更内容包括：</w:t>
      </w:r>
    </w:p>
    <w:p w:rsidR="00FB1A22" w:rsidRDefault="00176C52">
      <w:pPr>
        <w:spacing w:line="560" w:lineRule="exact"/>
        <w:ind w:firstLine="648"/>
        <w:rPr>
          <w:rFonts w:ascii="宋体"/>
        </w:rPr>
      </w:pPr>
      <w:r>
        <w:rPr>
          <w:rFonts w:ascii="宋体" w:hint="eastAsia"/>
        </w:rPr>
        <w:t>生产设备发生变更</w:t>
      </w:r>
    </w:p>
    <w:p w:rsidR="00FB1A22" w:rsidRDefault="00176C52">
      <w:pPr>
        <w:spacing w:line="560" w:lineRule="exact"/>
        <w:ind w:firstLine="648"/>
        <w:rPr>
          <w:szCs w:val="21"/>
        </w:rPr>
      </w:pPr>
      <w:r>
        <w:rPr>
          <w:rFonts w:ascii="宋体"/>
        </w:rPr>
        <w:t>弹性体改性沥青防水卷材生产</w:t>
      </w:r>
      <w:r>
        <w:rPr>
          <w:rFonts w:ascii="宋体" w:hint="eastAsia"/>
        </w:rPr>
        <w:t>线</w:t>
      </w:r>
      <w:r>
        <w:rPr>
          <w:rFonts w:hAnsi="Times New Roman" w:hint="eastAsia"/>
        </w:rPr>
        <w:t>减少了4台13m</w:t>
      </w:r>
      <w:r>
        <w:rPr>
          <w:rFonts w:hAnsi="Times New Roman" w:hint="eastAsia"/>
          <w:vertAlign w:val="superscript"/>
        </w:rPr>
        <w:t>3</w:t>
      </w:r>
      <w:r>
        <w:rPr>
          <w:rFonts w:hAnsi="Times New Roman" w:hint="eastAsia"/>
        </w:rPr>
        <w:t>的改性沥青搅拌罐，增加了2台10 m</w:t>
      </w:r>
      <w:r>
        <w:rPr>
          <w:rFonts w:hAnsi="Times New Roman" w:hint="eastAsia"/>
          <w:vertAlign w:val="superscript"/>
        </w:rPr>
        <w:t>3</w:t>
      </w:r>
      <w:r>
        <w:rPr>
          <w:rFonts w:hAnsi="Times New Roman" w:hint="eastAsia"/>
        </w:rPr>
        <w:t>的改性沥青搅拌罐；薄膜自动跟踪系统、压花辊、上面撒沙、上撒沙电机减速机、上沙提升、下面撒沙装置、下撒沙电机减速机、回砂装置、皮带输送机、沙料螺旋输送机、边砂回收机、散沙除尘装置、二次辅助张力、双沙牵引电机、主牵引电机、卷材测厚装置、中部调偏、成品储存、成品防下滑电机、成品调偏、</w:t>
      </w:r>
      <w:r>
        <w:rPr>
          <w:rFonts w:hAnsi="Times New Roman"/>
        </w:rPr>
        <w:t>S辊牵引装置</w:t>
      </w:r>
      <w:r>
        <w:rPr>
          <w:rFonts w:hAnsi="Times New Roman" w:hint="eastAsia"/>
        </w:rPr>
        <w:t>、弹跳装置、划线装置、六十米数控收卷机、主控制柜、电脑操作系统、压平辊、电动葫芦、展平辊、放膜架、高速垛码机、</w:t>
      </w:r>
      <w:proofErr w:type="spellStart"/>
      <w:r>
        <w:rPr>
          <w:szCs w:val="21"/>
        </w:rPr>
        <w:t>Vaportek</w:t>
      </w:r>
      <w:proofErr w:type="spellEnd"/>
      <w:r>
        <w:rPr>
          <w:szCs w:val="21"/>
        </w:rPr>
        <w:t>脱臭控制塔</w:t>
      </w:r>
      <w:r>
        <w:rPr>
          <w:rFonts w:hint="eastAsia"/>
          <w:szCs w:val="21"/>
        </w:rPr>
        <w:t>均未建设；</w:t>
      </w:r>
    </w:p>
    <w:p w:rsidR="00FB1A22" w:rsidRDefault="00176C52">
      <w:pPr>
        <w:spacing w:line="560" w:lineRule="exact"/>
        <w:ind w:firstLine="648"/>
        <w:rPr>
          <w:szCs w:val="21"/>
        </w:rPr>
      </w:pPr>
      <w:r>
        <w:rPr>
          <w:rFonts w:hint="eastAsia"/>
          <w:szCs w:val="21"/>
        </w:rPr>
        <w:t>根据环境保护部《关于印发环评管理中部分行业建设项目重大变动清单的通知》（环办〔2015〕52号），验收组认为以上变更不属于重大变动。</w:t>
      </w:r>
    </w:p>
    <w:p w:rsidR="00FB1A22" w:rsidRDefault="00176C52" w:rsidP="007E11AA">
      <w:pPr>
        <w:spacing w:line="560" w:lineRule="exact"/>
        <w:ind w:firstLineChars="197" w:firstLine="638"/>
        <w:rPr>
          <w:rFonts w:hAnsi="楷体_GB2312"/>
          <w:b/>
          <w:color w:val="000000"/>
        </w:rPr>
      </w:pPr>
      <w:r>
        <w:rPr>
          <w:rFonts w:hAnsi="楷体_GB2312" w:hint="eastAsia"/>
          <w:b/>
          <w:color w:val="000000"/>
        </w:rPr>
        <w:t>二、环境保护执行情况</w:t>
      </w:r>
    </w:p>
    <w:p w:rsidR="00FB1A22" w:rsidRDefault="00176C52">
      <w:pPr>
        <w:adjustRightInd w:val="0"/>
        <w:snapToGrid w:val="0"/>
        <w:spacing w:line="560" w:lineRule="exact"/>
        <w:ind w:firstLine="648"/>
        <w:rPr>
          <w:sz w:val="24"/>
        </w:rPr>
      </w:pPr>
      <w:r>
        <w:rPr>
          <w:rFonts w:hint="eastAsia"/>
        </w:rPr>
        <w:t>本项目产生的废气主要包括有组织废气和无组织废气，其中有组织锅炉废气通过低氮燃烧器处理后排放。有组织沥青烟废气经废气通过集气罩收集后经水喷淋系统、等离子吸附净化系统</w:t>
      </w:r>
      <w:r w:rsidR="009E2308">
        <w:rPr>
          <w:rFonts w:hint="eastAsia"/>
        </w:rPr>
        <w:t>、光氧催化</w:t>
      </w:r>
      <w:r>
        <w:rPr>
          <w:rFonts w:hint="eastAsia"/>
        </w:rPr>
        <w:t>处理后通过</w:t>
      </w:r>
      <w:r>
        <w:t>15米高排气筒排放。</w:t>
      </w:r>
    </w:p>
    <w:p w:rsidR="00FB1A22" w:rsidRDefault="00176C52">
      <w:pPr>
        <w:spacing w:line="560" w:lineRule="exact"/>
        <w:ind w:firstLine="648"/>
      </w:pPr>
      <w:r>
        <w:rPr>
          <w:rFonts w:hint="eastAsia"/>
        </w:rPr>
        <w:t>项目无生产性废水产生。生活污水经化粪池无害化、稳定化沉淀处理后由附近农户定期清运做农肥。</w:t>
      </w:r>
    </w:p>
    <w:p w:rsidR="00FB1A22" w:rsidRDefault="00176C52">
      <w:pPr>
        <w:adjustRightInd w:val="0"/>
        <w:snapToGrid w:val="0"/>
        <w:spacing w:line="560" w:lineRule="exact"/>
        <w:ind w:firstLine="648"/>
        <w:rPr>
          <w:rFonts w:ascii="Times New Roman" w:hAnsi="Times New Roman"/>
        </w:rPr>
      </w:pPr>
      <w:r>
        <w:rPr>
          <w:rFonts w:ascii="Times New Roman" w:hAnsi="Times New Roman" w:hint="eastAsia"/>
        </w:rPr>
        <w:t>对主要噪声源采取了降噪措施</w:t>
      </w:r>
      <w:r>
        <w:rPr>
          <w:rFonts w:ascii="Times New Roman" w:hAnsi="Times New Roman"/>
        </w:rPr>
        <w:t>。</w:t>
      </w:r>
    </w:p>
    <w:p w:rsidR="00FB1A22" w:rsidRDefault="00176C52">
      <w:pPr>
        <w:adjustRightInd w:val="0"/>
        <w:snapToGrid w:val="0"/>
        <w:spacing w:line="560" w:lineRule="exact"/>
        <w:ind w:firstLine="648"/>
        <w:rPr>
          <w:rFonts w:ascii="Times New Roman" w:hAnsi="Times New Roman"/>
        </w:rPr>
      </w:pPr>
      <w:r>
        <w:rPr>
          <w:rFonts w:ascii="Times New Roman" w:hAnsi="Times New Roman" w:hint="eastAsia"/>
        </w:rPr>
        <w:lastRenderedPageBreak/>
        <w:t>各种固体废物均得到妥善处理。</w:t>
      </w:r>
      <w:r>
        <w:rPr>
          <w:rFonts w:ascii="Times New Roman" w:hAnsi="Times New Roman" w:hint="eastAsia"/>
        </w:rPr>
        <w:t xml:space="preserve"> </w:t>
      </w:r>
    </w:p>
    <w:p w:rsidR="00FB1A22" w:rsidRDefault="00176C52">
      <w:pPr>
        <w:adjustRightInd w:val="0"/>
        <w:snapToGrid w:val="0"/>
        <w:spacing w:line="560" w:lineRule="exact"/>
        <w:ind w:firstLine="648"/>
        <w:rPr>
          <w:rFonts w:ascii="Times New Roman" w:hAnsi="Times New Roman"/>
        </w:rPr>
      </w:pPr>
      <w:r>
        <w:rPr>
          <w:rFonts w:ascii="Times New Roman" w:hAnsi="Times New Roman" w:hint="eastAsia"/>
        </w:rPr>
        <w:t>制定了《突发环境事件应急预案》并经当地环保部门备案。</w:t>
      </w:r>
    </w:p>
    <w:p w:rsidR="00FB1A22" w:rsidRDefault="00176C52">
      <w:pPr>
        <w:adjustRightInd w:val="0"/>
        <w:snapToGrid w:val="0"/>
        <w:spacing w:line="560" w:lineRule="exact"/>
        <w:ind w:firstLine="648"/>
        <w:rPr>
          <w:rFonts w:ascii="Times New Roman" w:hAnsi="Times New Roman"/>
        </w:rPr>
      </w:pPr>
      <w:r>
        <w:rPr>
          <w:rFonts w:ascii="Times New Roman" w:hAnsi="Times New Roman" w:hint="eastAsia"/>
        </w:rPr>
        <w:t>公司设有环保管理机构，环保规章制度较完善。</w:t>
      </w:r>
    </w:p>
    <w:p w:rsidR="00FB1A22" w:rsidRDefault="00176C52" w:rsidP="007E11AA">
      <w:pPr>
        <w:spacing w:line="560" w:lineRule="exact"/>
        <w:ind w:firstLineChars="197" w:firstLine="638"/>
        <w:rPr>
          <w:rFonts w:hAnsi="楷体_GB2312"/>
          <w:b/>
          <w:color w:val="000000"/>
        </w:rPr>
      </w:pPr>
      <w:r>
        <w:rPr>
          <w:rFonts w:hAnsi="楷体_GB2312" w:hint="eastAsia"/>
          <w:b/>
          <w:color w:val="000000"/>
        </w:rPr>
        <w:t>三、、验收监测结果</w:t>
      </w:r>
    </w:p>
    <w:p w:rsidR="00FB1A22" w:rsidRDefault="00176C52">
      <w:pPr>
        <w:adjustRightInd w:val="0"/>
        <w:snapToGrid w:val="0"/>
        <w:spacing w:line="560" w:lineRule="exact"/>
        <w:ind w:firstLine="648"/>
        <w:rPr>
          <w:rFonts w:ascii="Times New Roman" w:hAnsi="Times New Roman"/>
        </w:rPr>
      </w:pPr>
      <w:r>
        <w:rPr>
          <w:rFonts w:ascii="Times New Roman" w:hAnsi="Times New Roman" w:hint="eastAsia"/>
        </w:rPr>
        <w:t>验收监测期间，项目生产负荷在</w:t>
      </w:r>
      <w:r w:rsidR="009E2308">
        <w:rPr>
          <w:rFonts w:ascii="Times New Roman" w:hAnsi="Times New Roman" w:hint="eastAsia"/>
        </w:rPr>
        <w:t>90</w:t>
      </w:r>
      <w:r>
        <w:rPr>
          <w:rFonts w:ascii="Times New Roman" w:hAnsi="Times New Roman" w:hint="eastAsia"/>
        </w:rPr>
        <w:t>%~92%</w:t>
      </w:r>
      <w:r>
        <w:rPr>
          <w:rFonts w:ascii="Times New Roman" w:hAnsi="Times New Roman" w:hint="eastAsia"/>
        </w:rPr>
        <w:t>之间，均大于</w:t>
      </w:r>
      <w:r>
        <w:rPr>
          <w:rFonts w:ascii="Times New Roman" w:hAnsi="Times New Roman" w:hint="eastAsia"/>
        </w:rPr>
        <w:t xml:space="preserve"> 75%</w:t>
      </w:r>
      <w:r>
        <w:rPr>
          <w:rFonts w:ascii="Times New Roman" w:hAnsi="Times New Roman" w:hint="eastAsia"/>
        </w:rPr>
        <w:t>，满足环境保护验收监测要求。</w:t>
      </w:r>
    </w:p>
    <w:p w:rsidR="00FB1A22" w:rsidRDefault="00176C52">
      <w:pPr>
        <w:adjustRightInd w:val="0"/>
        <w:snapToGrid w:val="0"/>
        <w:spacing w:line="560" w:lineRule="exact"/>
        <w:ind w:firstLine="648"/>
        <w:rPr>
          <w:rFonts w:hAnsi="楷体_GB2312"/>
          <w:color w:val="000000"/>
        </w:rPr>
      </w:pPr>
      <w:r>
        <w:rPr>
          <w:rFonts w:hAnsi="Times New Roman" w:hint="eastAsia"/>
        </w:rPr>
        <w:t>1、</w:t>
      </w:r>
      <w:r>
        <w:rPr>
          <w:rFonts w:hAnsi="楷体_GB2312" w:hint="eastAsia"/>
          <w:color w:val="000000"/>
        </w:rPr>
        <w:t>废气</w:t>
      </w:r>
    </w:p>
    <w:p w:rsidR="00FB1A22" w:rsidRDefault="00176C52">
      <w:pPr>
        <w:adjustRightInd w:val="0"/>
        <w:snapToGrid w:val="0"/>
        <w:spacing w:line="560" w:lineRule="exact"/>
        <w:ind w:firstLine="648"/>
        <w:rPr>
          <w:rFonts w:ascii="Times New Roman" w:hAnsi="Times New Roman"/>
        </w:rPr>
      </w:pPr>
      <w:r>
        <w:rPr>
          <w:rFonts w:ascii="Times New Roman" w:hAnsi="Times New Roman" w:hint="eastAsia"/>
        </w:rPr>
        <w:t>锅炉排气筒废气颗粒物、二氧化硫、</w:t>
      </w:r>
      <w:r>
        <w:rPr>
          <w:rFonts w:ascii="Times New Roman" w:hAnsi="Times New Roman"/>
        </w:rPr>
        <w:t>氮氧化物的排</w:t>
      </w:r>
      <w:r>
        <w:rPr>
          <w:rFonts w:ascii="Times New Roman" w:hAnsi="Times New Roman" w:hint="eastAsia"/>
        </w:rPr>
        <w:t>放</w:t>
      </w:r>
      <w:r>
        <w:rPr>
          <w:rFonts w:ascii="Times New Roman" w:hAnsi="Times New Roman"/>
        </w:rPr>
        <w:t>浓度</w:t>
      </w:r>
      <w:r>
        <w:rPr>
          <w:rFonts w:ascii="Times New Roman" w:hAnsi="Times New Roman" w:hint="eastAsia"/>
        </w:rPr>
        <w:t>最大值均满足《山东省区域性大气污染物综合排放标准》（</w:t>
      </w:r>
      <w:r>
        <w:rPr>
          <w:rFonts w:ascii="Times New Roman" w:hAnsi="Times New Roman" w:hint="eastAsia"/>
        </w:rPr>
        <w:t>DB37/2376-2013</w:t>
      </w:r>
      <w:r>
        <w:rPr>
          <w:rFonts w:ascii="Times New Roman" w:hAnsi="Times New Roman" w:hint="eastAsia"/>
        </w:rPr>
        <w:t>）表</w:t>
      </w:r>
      <w:r>
        <w:rPr>
          <w:rFonts w:ascii="Times New Roman" w:hAnsi="Times New Roman" w:hint="eastAsia"/>
        </w:rPr>
        <w:t>2</w:t>
      </w:r>
      <w:r>
        <w:rPr>
          <w:rFonts w:ascii="Times New Roman" w:hAnsi="Times New Roman" w:hint="eastAsia"/>
        </w:rPr>
        <w:t>中大气污染物排放浓度限值（第四时段）重点控制区要求。</w:t>
      </w:r>
    </w:p>
    <w:p w:rsidR="00FB1A22" w:rsidRDefault="00176C52">
      <w:pPr>
        <w:spacing w:line="560" w:lineRule="exact"/>
        <w:ind w:firstLine="648"/>
        <w:rPr>
          <w:szCs w:val="21"/>
        </w:rPr>
      </w:pPr>
      <w:r>
        <w:rPr>
          <w:rFonts w:hint="eastAsia"/>
          <w:szCs w:val="21"/>
        </w:rPr>
        <w:t>沥青烟气排气筒沥青烟、苯并[a]芘和非甲烷总烃排放浓度满足《大气污染物综合排放标准》(GB16297-1996)表2中浓度限值要求。</w:t>
      </w:r>
    </w:p>
    <w:p w:rsidR="00FB1A22" w:rsidRDefault="00176C52">
      <w:pPr>
        <w:spacing w:line="560" w:lineRule="exact"/>
        <w:ind w:firstLine="648"/>
        <w:rPr>
          <w:szCs w:val="21"/>
        </w:rPr>
      </w:pPr>
      <w:r>
        <w:rPr>
          <w:rFonts w:hint="eastAsia"/>
          <w:szCs w:val="21"/>
        </w:rPr>
        <w:t>无组织排放废气总悬浮颗粒物、苯并[a]芘、非甲烷总烃的排放浓度，满足《大气污染物综合排放标准》(GB16297-1996)中表2中无组织标准要求。</w:t>
      </w:r>
    </w:p>
    <w:p w:rsidR="00FB1A22" w:rsidRDefault="00176C52" w:rsidP="009E2308">
      <w:pPr>
        <w:spacing w:line="560" w:lineRule="exact"/>
        <w:ind w:firstLineChars="197" w:firstLine="638"/>
        <w:rPr>
          <w:rFonts w:hAnsi="楷体_GB2312"/>
          <w:color w:val="000000"/>
        </w:rPr>
      </w:pPr>
      <w:r>
        <w:rPr>
          <w:rFonts w:hAnsi="楷体_GB2312" w:hint="eastAsia"/>
          <w:color w:val="000000"/>
        </w:rPr>
        <w:t>3、噪声</w:t>
      </w:r>
    </w:p>
    <w:p w:rsidR="00FB1A22" w:rsidRDefault="00176C52">
      <w:pPr>
        <w:adjustRightInd w:val="0"/>
        <w:snapToGrid w:val="0"/>
        <w:spacing w:line="560" w:lineRule="exact"/>
        <w:ind w:firstLine="648"/>
        <w:rPr>
          <w:rFonts w:hAnsi="Times New Roman"/>
          <w:color w:val="FF0000"/>
        </w:rPr>
      </w:pPr>
      <w:r>
        <w:rPr>
          <w:szCs w:val="21"/>
        </w:rPr>
        <w:t>厂界噪声符合《工业企业厂界环境噪声排放标准》（GB12348-2008）2类区标准。</w:t>
      </w:r>
    </w:p>
    <w:p w:rsidR="00FB1A22" w:rsidRDefault="00176C52" w:rsidP="009E2308">
      <w:pPr>
        <w:spacing w:line="560" w:lineRule="exact"/>
        <w:ind w:firstLineChars="197" w:firstLine="638"/>
        <w:rPr>
          <w:rFonts w:hAnsi="楷体_GB2312"/>
          <w:color w:val="000000"/>
        </w:rPr>
      </w:pPr>
      <w:r>
        <w:rPr>
          <w:rFonts w:hAnsi="楷体_GB2312" w:hint="eastAsia"/>
          <w:color w:val="000000"/>
        </w:rPr>
        <w:t>4、固体废物</w:t>
      </w:r>
    </w:p>
    <w:p w:rsidR="00FB1A22" w:rsidRDefault="00176C52" w:rsidP="009E2308">
      <w:pPr>
        <w:spacing w:line="560" w:lineRule="exact"/>
        <w:ind w:firstLineChars="197" w:firstLine="638"/>
        <w:rPr>
          <w:szCs w:val="21"/>
        </w:rPr>
      </w:pPr>
      <w:r>
        <w:rPr>
          <w:rFonts w:hAnsi="楷体_GB2312" w:hint="eastAsia"/>
          <w:color w:val="000000"/>
        </w:rPr>
        <w:t>项目产生的边角料收集后回收利用，废包装物统一收集后外售；沥青渣、废导热油统一收集后回用于生产，不外排；生活垃圾定期清运处理</w:t>
      </w:r>
      <w:r>
        <w:rPr>
          <w:szCs w:val="21"/>
        </w:rPr>
        <w:t>。</w:t>
      </w:r>
    </w:p>
    <w:p w:rsidR="00FB1A22" w:rsidRDefault="00176C52" w:rsidP="009E2308">
      <w:pPr>
        <w:spacing w:line="560" w:lineRule="exact"/>
        <w:ind w:firstLineChars="197" w:firstLine="638"/>
        <w:rPr>
          <w:rFonts w:hAnsi="楷体_GB2312"/>
          <w:color w:val="000000"/>
        </w:rPr>
      </w:pPr>
      <w:r>
        <w:rPr>
          <w:rFonts w:hAnsi="楷体_GB2312" w:hint="eastAsia"/>
          <w:color w:val="000000"/>
        </w:rPr>
        <w:lastRenderedPageBreak/>
        <w:t>5、总量控制指标</w:t>
      </w:r>
    </w:p>
    <w:p w:rsidR="00FB1A22" w:rsidRDefault="00176C52" w:rsidP="009E2308">
      <w:pPr>
        <w:spacing w:line="560" w:lineRule="exact"/>
        <w:ind w:firstLineChars="197" w:firstLine="638"/>
        <w:rPr>
          <w:rFonts w:hAnsi="楷体_GB2312"/>
          <w:color w:val="000000"/>
        </w:rPr>
      </w:pPr>
      <w:r>
        <w:rPr>
          <w:rFonts w:hAnsi="楷体_GB2312" w:hint="eastAsia"/>
          <w:color w:val="000000"/>
        </w:rPr>
        <w:t>该项目排入外环境的二氧化硫排放量为4.08×10</w:t>
      </w:r>
      <w:r>
        <w:rPr>
          <w:rFonts w:hAnsi="楷体_GB2312" w:hint="eastAsia"/>
          <w:color w:val="000000"/>
          <w:vertAlign w:val="superscript"/>
        </w:rPr>
        <w:t>-3</w:t>
      </w:r>
      <w:r>
        <w:rPr>
          <w:rFonts w:hAnsi="楷体_GB2312" w:hint="eastAsia"/>
          <w:color w:val="000000"/>
        </w:rPr>
        <w:t>t/a，氮氧化物排放量为0.286t/a，污染物排放总量控制在《寿光市建设项目污染物总量确认书》（SGZL(2016)43）中认定的范围内。</w:t>
      </w:r>
    </w:p>
    <w:p w:rsidR="00FB1A22" w:rsidRDefault="00176C52" w:rsidP="009E2308">
      <w:pPr>
        <w:spacing w:line="560" w:lineRule="exact"/>
        <w:ind w:firstLineChars="197" w:firstLine="638"/>
        <w:rPr>
          <w:rFonts w:hAnsi="Times New Roman"/>
        </w:rPr>
      </w:pPr>
      <w:r>
        <w:rPr>
          <w:rFonts w:hAnsi="楷体_GB2312" w:hint="eastAsia"/>
          <w:color w:val="000000"/>
        </w:rPr>
        <w:t>6、环境风险</w:t>
      </w:r>
    </w:p>
    <w:p w:rsidR="00FB1A22" w:rsidRDefault="00176C52" w:rsidP="009E2308">
      <w:pPr>
        <w:spacing w:line="560" w:lineRule="exact"/>
        <w:ind w:firstLineChars="197" w:firstLine="638"/>
        <w:rPr>
          <w:rFonts w:hAnsi="楷体_GB2312"/>
          <w:color w:val="000000"/>
        </w:rPr>
      </w:pPr>
      <w:r>
        <w:rPr>
          <w:rFonts w:hAnsi="楷体_GB2312" w:hint="eastAsia"/>
          <w:color w:val="000000"/>
        </w:rPr>
        <w:t>企业编制了突发环境事件应急预案，并在寿光市环境保护局进行了备案（备案编号：</w:t>
      </w:r>
      <w:r>
        <w:rPr>
          <w:rFonts w:hAnsi="楷体_GB2312"/>
          <w:color w:val="000000"/>
        </w:rPr>
        <w:t>370783-201</w:t>
      </w:r>
      <w:r>
        <w:rPr>
          <w:rFonts w:hAnsi="楷体_GB2312" w:hint="eastAsia"/>
          <w:color w:val="000000"/>
        </w:rPr>
        <w:t>7-048-L</w:t>
      </w:r>
      <w:r>
        <w:rPr>
          <w:rFonts w:hAnsi="楷体_GB2312"/>
          <w:color w:val="000000"/>
        </w:rPr>
        <w:t>）</w:t>
      </w:r>
      <w:r>
        <w:rPr>
          <w:rFonts w:hAnsi="楷体_GB2312" w:hint="eastAsia"/>
          <w:color w:val="000000"/>
        </w:rPr>
        <w:t>。</w:t>
      </w:r>
    </w:p>
    <w:p w:rsidR="00FB1A22" w:rsidRDefault="00176C52" w:rsidP="009E2308">
      <w:pPr>
        <w:spacing w:line="560" w:lineRule="exact"/>
        <w:ind w:firstLineChars="197" w:firstLine="638"/>
        <w:rPr>
          <w:rFonts w:hAnsi="楷体_GB2312"/>
          <w:color w:val="000000"/>
        </w:rPr>
      </w:pPr>
      <w:r>
        <w:rPr>
          <w:rFonts w:hAnsi="楷体_GB2312" w:hint="eastAsia"/>
          <w:color w:val="000000"/>
        </w:rPr>
        <w:t>7、防护距离内环境敏感点情况</w:t>
      </w:r>
    </w:p>
    <w:p w:rsidR="00FB1A22" w:rsidRDefault="00176C52" w:rsidP="009E2308">
      <w:pPr>
        <w:spacing w:line="560" w:lineRule="exact"/>
        <w:ind w:rightChars="66" w:right="214" w:firstLine="648"/>
        <w:rPr>
          <w:rFonts w:hAnsi="楷体_GB2312"/>
          <w:color w:val="000000"/>
        </w:rPr>
      </w:pPr>
      <w:r>
        <w:rPr>
          <w:rFonts w:hAnsi="楷体_GB2312"/>
          <w:color w:val="000000"/>
        </w:rPr>
        <w:t>本项目环评及批复设置</w:t>
      </w:r>
      <w:r>
        <w:rPr>
          <w:rFonts w:hAnsi="楷体_GB2312" w:hint="eastAsia"/>
          <w:color w:val="000000"/>
        </w:rPr>
        <w:t>卫生</w:t>
      </w:r>
      <w:r>
        <w:rPr>
          <w:rFonts w:hAnsi="楷体_GB2312"/>
          <w:color w:val="000000"/>
        </w:rPr>
        <w:t>防护距离100m</w:t>
      </w:r>
      <w:r>
        <w:rPr>
          <w:rFonts w:hAnsi="楷体_GB2312" w:hint="eastAsia"/>
          <w:color w:val="000000"/>
        </w:rPr>
        <w:t>。项目100</w:t>
      </w:r>
      <w:r>
        <w:rPr>
          <w:rFonts w:hAnsi="楷体_GB2312"/>
          <w:color w:val="000000"/>
        </w:rPr>
        <w:t>m范围内无居住、学校等环境敏感点。</w:t>
      </w:r>
    </w:p>
    <w:p w:rsidR="00FB1A22" w:rsidRDefault="00176C52" w:rsidP="009E2308">
      <w:pPr>
        <w:spacing w:line="560" w:lineRule="exact"/>
        <w:ind w:firstLineChars="197" w:firstLine="638"/>
        <w:rPr>
          <w:rFonts w:hAnsi="楷体_GB2312"/>
          <w:color w:val="000000"/>
        </w:rPr>
      </w:pPr>
      <w:r>
        <w:rPr>
          <w:rFonts w:hAnsi="楷体_GB2312" w:hint="eastAsia"/>
          <w:color w:val="000000"/>
        </w:rPr>
        <w:t>8、环境管理</w:t>
      </w:r>
    </w:p>
    <w:p w:rsidR="00FB1A22" w:rsidRDefault="00176C52" w:rsidP="009E2308">
      <w:pPr>
        <w:spacing w:line="560" w:lineRule="exact"/>
        <w:ind w:firstLineChars="197" w:firstLine="638"/>
        <w:rPr>
          <w:rFonts w:hAnsi="Times New Roman"/>
        </w:rPr>
      </w:pPr>
      <w:r>
        <w:rPr>
          <w:rFonts w:hAnsi="Times New Roman"/>
        </w:rPr>
        <w:t>公司</w:t>
      </w:r>
      <w:r>
        <w:rPr>
          <w:rFonts w:hAnsi="Times New Roman" w:hint="eastAsia"/>
        </w:rPr>
        <w:t>设置</w:t>
      </w:r>
      <w:r>
        <w:rPr>
          <w:rFonts w:hAnsi="Times New Roman"/>
        </w:rPr>
        <w:t>了</w:t>
      </w:r>
      <w:r>
        <w:rPr>
          <w:rFonts w:hAnsi="Times New Roman" w:hint="eastAsia"/>
        </w:rPr>
        <w:t>环保科负责该项目的环境管理</w:t>
      </w:r>
      <w:r>
        <w:rPr>
          <w:rFonts w:hAnsi="Times New Roman"/>
        </w:rPr>
        <w:t>，</w:t>
      </w:r>
      <w:r>
        <w:rPr>
          <w:rFonts w:hAnsi="Times New Roman" w:hint="eastAsia"/>
        </w:rPr>
        <w:t>配备了相关监测仪器设备，</w:t>
      </w:r>
      <w:r>
        <w:rPr>
          <w:rFonts w:hAnsi="Times New Roman"/>
        </w:rPr>
        <w:t>制定了环境保护管理制度，并由专职人员负责环境保护工作。</w:t>
      </w:r>
    </w:p>
    <w:p w:rsidR="00FB1A22" w:rsidRDefault="00176C52" w:rsidP="007E11AA">
      <w:pPr>
        <w:spacing w:line="560" w:lineRule="exact"/>
        <w:ind w:firstLineChars="197" w:firstLine="638"/>
        <w:rPr>
          <w:rFonts w:hAnsi="楷体_GB2312"/>
          <w:b/>
          <w:color w:val="000000"/>
        </w:rPr>
      </w:pPr>
      <w:r>
        <w:rPr>
          <w:rFonts w:hAnsi="楷体_GB2312" w:hint="eastAsia"/>
          <w:b/>
          <w:color w:val="000000"/>
        </w:rPr>
        <w:t>四、验收结论</w:t>
      </w:r>
    </w:p>
    <w:p w:rsidR="00FB1A22" w:rsidRPr="00A97D2A" w:rsidRDefault="00176C52">
      <w:pPr>
        <w:spacing w:line="560" w:lineRule="exact"/>
        <w:ind w:firstLine="648"/>
        <w:outlineLvl w:val="0"/>
        <w:rPr>
          <w:rFonts w:ascii="Times New Roman" w:hAnsi="Times New Roman"/>
        </w:rPr>
      </w:pPr>
      <w:r w:rsidRPr="00A97D2A">
        <w:rPr>
          <w:rFonts w:ascii="Times New Roman" w:hAnsi="Times New Roman" w:hint="eastAsia"/>
        </w:rPr>
        <w:t>本工程环境保护手续齐全</w:t>
      </w:r>
      <w:r w:rsidRPr="0002740F">
        <w:rPr>
          <w:rFonts w:ascii="Times New Roman" w:hAnsi="Times New Roman" w:hint="eastAsia"/>
        </w:rPr>
        <w:t>，基本落实了环评文件及批复中的各项环保要求，在实施过程中基本按照要求配套建设了相应的环境保护设施，各类污染物达标排放，主</w:t>
      </w:r>
      <w:r w:rsidRPr="00A97D2A">
        <w:rPr>
          <w:rFonts w:ascii="Times New Roman" w:hAnsi="Times New Roman" w:hint="eastAsia"/>
        </w:rPr>
        <w:t>要污染物符合总量控制指标要求，符合建设项目竣工环保验收条件。</w:t>
      </w:r>
    </w:p>
    <w:p w:rsidR="00FB1A22" w:rsidRDefault="007E11AA" w:rsidP="007E11AA">
      <w:pPr>
        <w:spacing w:line="560" w:lineRule="exact"/>
        <w:ind w:firstLineChars="197" w:firstLine="638"/>
        <w:rPr>
          <w:rFonts w:hAnsi="楷体_GB2312"/>
          <w:b/>
          <w:color w:val="000000"/>
        </w:rPr>
      </w:pPr>
      <w:r>
        <w:rPr>
          <w:rFonts w:hAnsi="楷体_GB2312" w:hint="eastAsia"/>
          <w:b/>
          <w:color w:val="000000"/>
        </w:rPr>
        <w:t>五</w:t>
      </w:r>
      <w:r w:rsidR="00176C52">
        <w:rPr>
          <w:rFonts w:hAnsi="楷体_GB2312" w:hint="eastAsia"/>
          <w:b/>
          <w:color w:val="000000"/>
        </w:rPr>
        <w:t>、后续工作建议</w:t>
      </w:r>
    </w:p>
    <w:p w:rsidR="00FB1A22" w:rsidRDefault="00176C52">
      <w:pPr>
        <w:spacing w:line="560" w:lineRule="exact"/>
        <w:ind w:firstLine="648"/>
      </w:pPr>
      <w:r>
        <w:rPr>
          <w:rFonts w:hint="eastAsia"/>
        </w:rPr>
        <w:t>1、应按环评批复及现行环保政策要求，进一步完善弹性体改性沥青防水卷材项目废气收集、处理措施，聚乙烯丙纶复合防水卷材挤出工段应建设废气处理设施，减少污染排放量。加强废气处理装置产生的废水管理。</w:t>
      </w:r>
    </w:p>
    <w:p w:rsidR="00FB1A22" w:rsidRDefault="00176C52">
      <w:pPr>
        <w:spacing w:line="560" w:lineRule="exact"/>
        <w:ind w:firstLine="648"/>
      </w:pPr>
      <w:r>
        <w:rPr>
          <w:rFonts w:hint="eastAsia"/>
        </w:rPr>
        <w:lastRenderedPageBreak/>
        <w:t>2、加强</w:t>
      </w:r>
      <w:r>
        <w:rPr>
          <w:rFonts w:hAnsi="楷体_GB2312" w:hint="eastAsia"/>
          <w:color w:val="000000"/>
        </w:rPr>
        <w:t>沥青渣、废导热油的管理，确保安全处置或综合利用。</w:t>
      </w:r>
      <w:r>
        <w:rPr>
          <w:rFonts w:hint="eastAsia"/>
        </w:rPr>
        <w:t>设置规范的固体废物储存间和危险废物暂存间。</w:t>
      </w:r>
    </w:p>
    <w:p w:rsidR="00FB1A22" w:rsidRDefault="00176C52">
      <w:pPr>
        <w:spacing w:line="560" w:lineRule="exact"/>
        <w:ind w:firstLine="648"/>
      </w:pPr>
      <w:r>
        <w:rPr>
          <w:rFonts w:hint="eastAsia"/>
        </w:rPr>
        <w:t>3、地下储罐及生产设施应采取严格的防渗措施。罐区设置规范的围堰及导排系统。</w:t>
      </w:r>
      <w:bookmarkStart w:id="0" w:name="_GoBack"/>
      <w:bookmarkEnd w:id="0"/>
    </w:p>
    <w:p w:rsidR="00FB1A22" w:rsidRDefault="00176C52">
      <w:pPr>
        <w:spacing w:line="560" w:lineRule="exact"/>
        <w:ind w:firstLine="648"/>
      </w:pPr>
      <w:r>
        <w:rPr>
          <w:rFonts w:hint="eastAsia"/>
        </w:rPr>
        <w:t>4、设置规范的采样孔和采样平台。落实环境监测计划，对不具备自行监测能力的内容委托有资质的单位开展监测工作。</w:t>
      </w:r>
    </w:p>
    <w:p w:rsidR="00FB1A22" w:rsidRDefault="00176C52">
      <w:pPr>
        <w:spacing w:line="560" w:lineRule="exact"/>
        <w:ind w:firstLine="648"/>
        <w:jc w:val="both"/>
      </w:pPr>
      <w:r>
        <w:rPr>
          <w:rFonts w:hint="eastAsia"/>
        </w:rPr>
        <w:t>5、</w:t>
      </w:r>
      <w:r>
        <w:rPr>
          <w:rFonts w:hint="eastAsia"/>
          <w:color w:val="000000"/>
        </w:rPr>
        <w:t>加强环境风险防范意识</w:t>
      </w:r>
      <w:r>
        <w:rPr>
          <w:rFonts w:hint="eastAsia"/>
        </w:rPr>
        <w:t>，完善突发环境事件应急预案，</w:t>
      </w:r>
      <w:r>
        <w:rPr>
          <w:rFonts w:hint="eastAsia"/>
          <w:color w:val="000000"/>
        </w:rPr>
        <w:t>定期开展应急演练</w:t>
      </w:r>
      <w:r>
        <w:rPr>
          <w:rFonts w:hint="eastAsia"/>
        </w:rPr>
        <w:t>；</w:t>
      </w:r>
    </w:p>
    <w:p w:rsidR="00FB1A22" w:rsidRDefault="00176C52">
      <w:pPr>
        <w:spacing w:line="560" w:lineRule="exact"/>
        <w:ind w:firstLine="648"/>
        <w:jc w:val="both"/>
        <w:rPr>
          <w:color w:val="FF0000"/>
        </w:rPr>
      </w:pPr>
      <w:r>
        <w:rPr>
          <w:rFonts w:hint="eastAsia"/>
        </w:rPr>
        <w:t>6、加强各类环保设施的日常维护和管理，确保环保设施正常运转，各项污染物稳定达标排放。如遇环保设施检修、停运等情况，要及时向当地环保部门报告，并如实记录备查</w:t>
      </w:r>
      <w:r>
        <w:rPr>
          <w:rFonts w:hint="eastAsia"/>
          <w:color w:val="000000"/>
        </w:rPr>
        <w:t>。</w:t>
      </w:r>
    </w:p>
    <w:p w:rsidR="00FB1A22" w:rsidRDefault="00FB1A22" w:rsidP="009E2308">
      <w:pPr>
        <w:spacing w:line="600" w:lineRule="exact"/>
        <w:ind w:leftChars="200" w:left="648" w:firstLineChars="1400" w:firstLine="4535"/>
        <w:rPr>
          <w:color w:val="000000"/>
        </w:rPr>
      </w:pPr>
    </w:p>
    <w:p w:rsidR="00FB1A22" w:rsidRDefault="00176C52" w:rsidP="009E2308">
      <w:pPr>
        <w:spacing w:line="600" w:lineRule="exact"/>
        <w:ind w:leftChars="200" w:left="648" w:firstLineChars="1694" w:firstLine="5487"/>
        <w:rPr>
          <w:color w:val="000000"/>
        </w:rPr>
      </w:pPr>
      <w:r>
        <w:rPr>
          <w:rFonts w:hint="eastAsia"/>
          <w:color w:val="000000"/>
        </w:rPr>
        <w:t>验收组</w:t>
      </w:r>
    </w:p>
    <w:p w:rsidR="00FB1A22" w:rsidRDefault="00176C52" w:rsidP="009E2308">
      <w:pPr>
        <w:spacing w:line="600" w:lineRule="exact"/>
        <w:ind w:firstLineChars="1635" w:firstLine="5296"/>
        <w:rPr>
          <w:color w:val="000000"/>
        </w:rPr>
      </w:pPr>
      <w:r>
        <w:rPr>
          <w:rFonts w:hint="eastAsia"/>
          <w:color w:val="000000"/>
        </w:rPr>
        <w:t>2017年12月23日</w:t>
      </w:r>
    </w:p>
    <w:p w:rsidR="00FB1A22" w:rsidRDefault="00FB1A22" w:rsidP="009E2308">
      <w:pPr>
        <w:pStyle w:val="a5"/>
        <w:spacing w:line="600" w:lineRule="exact"/>
        <w:ind w:firstLineChars="200" w:firstLine="731"/>
        <w:rPr>
          <w:rFonts w:ascii="黑体" w:eastAsia="黑体"/>
          <w:b/>
        </w:rPr>
      </w:pPr>
    </w:p>
    <w:p w:rsidR="00FB1A22" w:rsidRDefault="00FB1A22" w:rsidP="00DC07E0">
      <w:pPr>
        <w:snapToGrid w:val="0"/>
        <w:spacing w:afterLines="50"/>
        <w:ind w:firstLine="488"/>
        <w:jc w:val="center"/>
        <w:rPr>
          <w:b/>
          <w:sz w:val="24"/>
        </w:rPr>
        <w:sectPr w:rsidR="00FB1A2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pgNumType w:fmt="numberInDash"/>
          <w:cols w:space="720"/>
          <w:docGrid w:type="linesAndChars" w:linePitch="560" w:charSpace="804"/>
        </w:sectPr>
      </w:pPr>
    </w:p>
    <w:p w:rsidR="00FB1A22" w:rsidRDefault="00176C52" w:rsidP="00DC07E0">
      <w:pPr>
        <w:snapToGrid w:val="0"/>
        <w:spacing w:afterLines="50"/>
        <w:ind w:firstLine="488"/>
        <w:jc w:val="center"/>
        <w:rPr>
          <w:b/>
          <w:sz w:val="24"/>
        </w:rPr>
      </w:pPr>
      <w:r>
        <w:rPr>
          <w:rFonts w:hint="eastAsia"/>
          <w:b/>
          <w:sz w:val="24"/>
        </w:rPr>
        <w:lastRenderedPageBreak/>
        <w:t>寿光市承润防水材料有限公司3000万平方米/年防水卷材项目</w:t>
      </w:r>
    </w:p>
    <w:p w:rsidR="00FB1A22" w:rsidRDefault="00176C52" w:rsidP="00DC07E0">
      <w:pPr>
        <w:snapToGrid w:val="0"/>
        <w:spacing w:afterLines="50"/>
        <w:ind w:firstLine="488"/>
        <w:jc w:val="center"/>
        <w:rPr>
          <w:b/>
          <w:sz w:val="24"/>
        </w:rPr>
      </w:pPr>
      <w:r>
        <w:rPr>
          <w:rFonts w:hint="eastAsia"/>
          <w:b/>
          <w:sz w:val="24"/>
        </w:rPr>
        <w:t>竣工环境保护验收组人员名单</w:t>
      </w:r>
    </w:p>
    <w:tbl>
      <w:tblPr>
        <w:tblW w:w="89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99"/>
        <w:gridCol w:w="1276"/>
        <w:gridCol w:w="3402"/>
        <w:gridCol w:w="1559"/>
        <w:gridCol w:w="1479"/>
      </w:tblGrid>
      <w:tr w:rsidR="00FB1A22" w:rsidTr="00DC07E0">
        <w:trPr>
          <w:trHeight w:val="567"/>
          <w:jc w:val="center"/>
        </w:trPr>
        <w:tc>
          <w:tcPr>
            <w:tcW w:w="1199" w:type="dxa"/>
            <w:vAlign w:val="center"/>
          </w:tcPr>
          <w:p w:rsidR="00FB1A22" w:rsidRDefault="00FB1A22">
            <w:pPr>
              <w:snapToGrid w:val="0"/>
              <w:ind w:firstLineChars="0" w:firstLine="0"/>
              <w:jc w:val="center"/>
              <w:rPr>
                <w:rFonts w:ascii="宋体" w:eastAsia="宋体"/>
                <w:sz w:val="21"/>
                <w:szCs w:val="21"/>
              </w:rPr>
            </w:pPr>
          </w:p>
        </w:tc>
        <w:tc>
          <w:tcPr>
            <w:tcW w:w="1276"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姓  名</w:t>
            </w:r>
          </w:p>
        </w:tc>
        <w:tc>
          <w:tcPr>
            <w:tcW w:w="3402"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单      位</w:t>
            </w:r>
          </w:p>
        </w:tc>
        <w:tc>
          <w:tcPr>
            <w:tcW w:w="1559"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职务/职称</w:t>
            </w:r>
          </w:p>
        </w:tc>
        <w:tc>
          <w:tcPr>
            <w:tcW w:w="1479"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签  名</w:t>
            </w:r>
          </w:p>
        </w:tc>
      </w:tr>
      <w:tr w:rsidR="00FB1A22" w:rsidTr="00DC07E0">
        <w:trPr>
          <w:trHeight w:val="595"/>
          <w:jc w:val="center"/>
        </w:trPr>
        <w:tc>
          <w:tcPr>
            <w:tcW w:w="1199"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建设单位</w:t>
            </w:r>
          </w:p>
        </w:tc>
        <w:tc>
          <w:tcPr>
            <w:tcW w:w="1276"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王新建</w:t>
            </w:r>
          </w:p>
        </w:tc>
        <w:tc>
          <w:tcPr>
            <w:tcW w:w="3402"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寿光市承润防水材料有限公司</w:t>
            </w:r>
          </w:p>
        </w:tc>
        <w:tc>
          <w:tcPr>
            <w:tcW w:w="1559"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总经理</w:t>
            </w:r>
          </w:p>
        </w:tc>
        <w:tc>
          <w:tcPr>
            <w:tcW w:w="1479" w:type="dxa"/>
            <w:vAlign w:val="center"/>
          </w:tcPr>
          <w:p w:rsidR="00FB1A22" w:rsidRDefault="00FB1A22">
            <w:pPr>
              <w:snapToGrid w:val="0"/>
              <w:ind w:firstLineChars="0" w:firstLine="0"/>
              <w:jc w:val="center"/>
              <w:rPr>
                <w:rFonts w:ascii="宋体" w:eastAsia="宋体"/>
                <w:sz w:val="21"/>
                <w:szCs w:val="21"/>
                <w:highlight w:val="yellow"/>
              </w:rPr>
            </w:pPr>
          </w:p>
        </w:tc>
      </w:tr>
      <w:tr w:rsidR="00FB1A22" w:rsidTr="00DC07E0">
        <w:trPr>
          <w:trHeight w:val="522"/>
          <w:jc w:val="center"/>
        </w:trPr>
        <w:tc>
          <w:tcPr>
            <w:tcW w:w="1199"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验收监测单位</w:t>
            </w:r>
          </w:p>
        </w:tc>
        <w:tc>
          <w:tcPr>
            <w:tcW w:w="1276"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陈青云</w:t>
            </w:r>
          </w:p>
        </w:tc>
        <w:tc>
          <w:tcPr>
            <w:tcW w:w="3402"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山东潍科检测服务有限公司</w:t>
            </w:r>
          </w:p>
        </w:tc>
        <w:tc>
          <w:tcPr>
            <w:tcW w:w="1559"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工程师</w:t>
            </w:r>
          </w:p>
        </w:tc>
        <w:tc>
          <w:tcPr>
            <w:tcW w:w="1479" w:type="dxa"/>
            <w:vAlign w:val="center"/>
          </w:tcPr>
          <w:p w:rsidR="00FB1A22" w:rsidRDefault="00FB1A22">
            <w:pPr>
              <w:snapToGrid w:val="0"/>
              <w:ind w:firstLineChars="0" w:firstLine="0"/>
              <w:jc w:val="center"/>
              <w:rPr>
                <w:rFonts w:ascii="宋体" w:eastAsia="宋体"/>
                <w:sz w:val="21"/>
                <w:szCs w:val="21"/>
                <w:highlight w:val="yellow"/>
              </w:rPr>
            </w:pPr>
          </w:p>
        </w:tc>
      </w:tr>
      <w:tr w:rsidR="00FB1A22" w:rsidTr="00DC07E0">
        <w:trPr>
          <w:trHeight w:val="567"/>
          <w:jc w:val="center"/>
        </w:trPr>
        <w:tc>
          <w:tcPr>
            <w:tcW w:w="1199" w:type="dxa"/>
            <w:vMerge w:val="restart"/>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特邀专家</w:t>
            </w:r>
          </w:p>
        </w:tc>
        <w:tc>
          <w:tcPr>
            <w:tcW w:w="1276"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由明华</w:t>
            </w:r>
          </w:p>
        </w:tc>
        <w:tc>
          <w:tcPr>
            <w:tcW w:w="3402"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山东城建学院</w:t>
            </w:r>
          </w:p>
        </w:tc>
        <w:tc>
          <w:tcPr>
            <w:tcW w:w="1559"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副教授</w:t>
            </w:r>
          </w:p>
        </w:tc>
        <w:tc>
          <w:tcPr>
            <w:tcW w:w="1479" w:type="dxa"/>
            <w:vAlign w:val="center"/>
          </w:tcPr>
          <w:p w:rsidR="00FB1A22" w:rsidRDefault="00FB1A22">
            <w:pPr>
              <w:snapToGrid w:val="0"/>
              <w:ind w:firstLineChars="0" w:firstLine="0"/>
              <w:jc w:val="center"/>
              <w:rPr>
                <w:rFonts w:ascii="宋体" w:eastAsia="宋体"/>
                <w:sz w:val="21"/>
                <w:szCs w:val="21"/>
                <w:highlight w:val="yellow"/>
              </w:rPr>
            </w:pPr>
          </w:p>
        </w:tc>
      </w:tr>
      <w:tr w:rsidR="00FB1A22" w:rsidTr="00DC07E0">
        <w:trPr>
          <w:trHeight w:val="567"/>
          <w:jc w:val="center"/>
        </w:trPr>
        <w:tc>
          <w:tcPr>
            <w:tcW w:w="1199" w:type="dxa"/>
            <w:vMerge/>
            <w:vAlign w:val="center"/>
          </w:tcPr>
          <w:p w:rsidR="00FB1A22" w:rsidRDefault="00FB1A22">
            <w:pPr>
              <w:snapToGrid w:val="0"/>
              <w:ind w:firstLineChars="0" w:firstLine="0"/>
              <w:jc w:val="center"/>
              <w:rPr>
                <w:rFonts w:ascii="宋体" w:eastAsia="宋体"/>
                <w:sz w:val="21"/>
                <w:szCs w:val="21"/>
                <w:highlight w:val="yellow"/>
              </w:rPr>
            </w:pPr>
          </w:p>
        </w:tc>
        <w:tc>
          <w:tcPr>
            <w:tcW w:w="1276"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舒  永</w:t>
            </w:r>
          </w:p>
        </w:tc>
        <w:tc>
          <w:tcPr>
            <w:tcW w:w="3402"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山东省化工研究院</w:t>
            </w:r>
          </w:p>
        </w:tc>
        <w:tc>
          <w:tcPr>
            <w:tcW w:w="1559"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研究员</w:t>
            </w:r>
          </w:p>
        </w:tc>
        <w:tc>
          <w:tcPr>
            <w:tcW w:w="1479" w:type="dxa"/>
            <w:vAlign w:val="center"/>
          </w:tcPr>
          <w:p w:rsidR="00FB1A22" w:rsidRDefault="00FB1A22">
            <w:pPr>
              <w:snapToGrid w:val="0"/>
              <w:ind w:firstLineChars="0" w:firstLine="0"/>
              <w:jc w:val="center"/>
              <w:rPr>
                <w:rFonts w:ascii="宋体" w:eastAsia="宋体"/>
                <w:sz w:val="21"/>
                <w:szCs w:val="21"/>
                <w:highlight w:val="yellow"/>
              </w:rPr>
            </w:pPr>
          </w:p>
        </w:tc>
      </w:tr>
      <w:tr w:rsidR="00FB1A22" w:rsidTr="00DC07E0">
        <w:trPr>
          <w:trHeight w:val="567"/>
          <w:jc w:val="center"/>
        </w:trPr>
        <w:tc>
          <w:tcPr>
            <w:tcW w:w="1199" w:type="dxa"/>
            <w:vMerge/>
            <w:vAlign w:val="center"/>
          </w:tcPr>
          <w:p w:rsidR="00FB1A22" w:rsidRDefault="00FB1A22">
            <w:pPr>
              <w:snapToGrid w:val="0"/>
              <w:ind w:firstLineChars="0" w:firstLine="0"/>
              <w:jc w:val="center"/>
              <w:rPr>
                <w:rFonts w:ascii="宋体" w:eastAsia="宋体"/>
                <w:sz w:val="21"/>
                <w:szCs w:val="21"/>
                <w:highlight w:val="yellow"/>
              </w:rPr>
            </w:pPr>
          </w:p>
        </w:tc>
        <w:tc>
          <w:tcPr>
            <w:tcW w:w="1276"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曹大勇</w:t>
            </w:r>
          </w:p>
        </w:tc>
        <w:tc>
          <w:tcPr>
            <w:tcW w:w="3402"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山东省环科院</w:t>
            </w:r>
          </w:p>
        </w:tc>
        <w:tc>
          <w:tcPr>
            <w:tcW w:w="1559" w:type="dxa"/>
            <w:vAlign w:val="center"/>
          </w:tcPr>
          <w:p w:rsidR="00FB1A22" w:rsidRDefault="00176C52">
            <w:pPr>
              <w:snapToGrid w:val="0"/>
              <w:ind w:firstLineChars="0" w:firstLine="0"/>
              <w:jc w:val="center"/>
              <w:rPr>
                <w:rFonts w:ascii="宋体" w:eastAsia="宋体"/>
                <w:sz w:val="21"/>
                <w:szCs w:val="21"/>
              </w:rPr>
            </w:pPr>
            <w:r>
              <w:rPr>
                <w:rFonts w:ascii="宋体" w:eastAsia="宋体" w:hint="eastAsia"/>
                <w:sz w:val="21"/>
                <w:szCs w:val="21"/>
              </w:rPr>
              <w:t>高  工</w:t>
            </w:r>
          </w:p>
        </w:tc>
        <w:tc>
          <w:tcPr>
            <w:tcW w:w="1479" w:type="dxa"/>
            <w:vAlign w:val="center"/>
          </w:tcPr>
          <w:p w:rsidR="00FB1A22" w:rsidRDefault="00FB1A22">
            <w:pPr>
              <w:snapToGrid w:val="0"/>
              <w:ind w:firstLineChars="0" w:firstLine="0"/>
              <w:jc w:val="center"/>
              <w:rPr>
                <w:rFonts w:ascii="宋体" w:eastAsia="宋体"/>
                <w:sz w:val="21"/>
                <w:szCs w:val="21"/>
                <w:highlight w:val="yellow"/>
              </w:rPr>
            </w:pPr>
          </w:p>
        </w:tc>
      </w:tr>
    </w:tbl>
    <w:p w:rsidR="00FB1A22" w:rsidRDefault="00FB1A22" w:rsidP="009E2308">
      <w:pPr>
        <w:spacing w:line="600" w:lineRule="exact"/>
        <w:ind w:firstLineChars="61" w:firstLine="198"/>
        <w:rPr>
          <w:color w:val="000000"/>
        </w:rPr>
      </w:pPr>
    </w:p>
    <w:p w:rsidR="00FB1A22" w:rsidRDefault="00FB1A22">
      <w:pPr>
        <w:ind w:firstLine="648"/>
      </w:pPr>
    </w:p>
    <w:sectPr w:rsidR="00FB1A22" w:rsidSect="00FB1A22">
      <w:pgSz w:w="11906" w:h="16838"/>
      <w:pgMar w:top="1418" w:right="1418" w:bottom="1418" w:left="1418" w:header="851" w:footer="992" w:gutter="0"/>
      <w:pgNumType w:fmt="numberInDash"/>
      <w:cols w:space="720"/>
      <w:docGrid w:type="linesAndChars" w:linePitch="560" w:charSpace="8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960" w:rsidRDefault="00EA6960" w:rsidP="009E2308">
      <w:pPr>
        <w:ind w:firstLine="640"/>
      </w:pPr>
      <w:r>
        <w:separator/>
      </w:r>
    </w:p>
  </w:endnote>
  <w:endnote w:type="continuationSeparator" w:id="0">
    <w:p w:rsidR="00EA6960" w:rsidRDefault="00EA6960" w:rsidP="009E2308">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小标宋简体">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22" w:rsidRDefault="00544F87">
    <w:pPr>
      <w:pStyle w:val="a3"/>
      <w:framePr w:wrap="around" w:vAnchor="text" w:hAnchor="margin" w:xAlign="right" w:y="1"/>
      <w:ind w:firstLine="360"/>
      <w:rPr>
        <w:rStyle w:val="a6"/>
      </w:rPr>
    </w:pPr>
    <w:r>
      <w:fldChar w:fldCharType="begin"/>
    </w:r>
    <w:r w:rsidR="00176C52">
      <w:rPr>
        <w:rStyle w:val="a6"/>
      </w:rPr>
      <w:instrText xml:space="preserve">PAGE  </w:instrText>
    </w:r>
    <w:r>
      <w:fldChar w:fldCharType="end"/>
    </w:r>
  </w:p>
  <w:p w:rsidR="00FB1A22" w:rsidRDefault="00FB1A2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22" w:rsidRDefault="00544F87">
    <w:pPr>
      <w:pStyle w:val="a3"/>
      <w:ind w:firstLine="360"/>
      <w:jc w:val="center"/>
    </w:pPr>
    <w:r>
      <w:fldChar w:fldCharType="begin"/>
    </w:r>
    <w:r w:rsidR="00176C52">
      <w:instrText>PAGE   \* MERGEFORMAT</w:instrText>
    </w:r>
    <w:r>
      <w:fldChar w:fldCharType="separate"/>
    </w:r>
    <w:r w:rsidR="00DC07E0" w:rsidRPr="00DC07E0">
      <w:rPr>
        <w:noProof/>
        <w:lang w:val="zh-CN"/>
      </w:rPr>
      <w:t>-</w:t>
    </w:r>
    <w:r w:rsidR="00DC07E0">
      <w:rPr>
        <w:noProof/>
      </w:rPr>
      <w:t xml:space="preserve"> 6 -</w:t>
    </w:r>
    <w:r>
      <w:fldChar w:fldCharType="end"/>
    </w:r>
  </w:p>
  <w:p w:rsidR="00FB1A22" w:rsidRDefault="00FB1A22">
    <w:pPr>
      <w:pStyle w:val="a3"/>
      <w:ind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22" w:rsidRDefault="00FB1A22">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960" w:rsidRDefault="00EA6960" w:rsidP="009E2308">
      <w:pPr>
        <w:ind w:firstLine="640"/>
      </w:pPr>
      <w:r>
        <w:separator/>
      </w:r>
    </w:p>
  </w:footnote>
  <w:footnote w:type="continuationSeparator" w:id="0">
    <w:p w:rsidR="00EA6960" w:rsidRDefault="00EA6960" w:rsidP="009E2308">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22" w:rsidRDefault="00FB1A22">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22" w:rsidRDefault="00FB1A22">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22" w:rsidRDefault="00FB1A22">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46EF0"/>
    <w:multiLevelType w:val="singleLevel"/>
    <w:tmpl w:val="5A346EF0"/>
    <w:lvl w:ilvl="0">
      <w:start w:val="5"/>
      <w:numFmt w:val="chineseCounting"/>
      <w:suff w:val="nothing"/>
      <w:lvlText w:val="%1、"/>
      <w:lvlJc w:val="left"/>
    </w:lvl>
  </w:abstractNum>
  <w:abstractNum w:abstractNumId="1">
    <w:nsid w:val="5A346F3D"/>
    <w:multiLevelType w:val="singleLevel"/>
    <w:tmpl w:val="5A346F3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2E38"/>
    <w:rsid w:val="0002740F"/>
    <w:rsid w:val="00033A6A"/>
    <w:rsid w:val="00062E38"/>
    <w:rsid w:val="001424BF"/>
    <w:rsid w:val="00176C52"/>
    <w:rsid w:val="001A7364"/>
    <w:rsid w:val="001F28AC"/>
    <w:rsid w:val="00213282"/>
    <w:rsid w:val="00291AA1"/>
    <w:rsid w:val="002A3D13"/>
    <w:rsid w:val="002A5C12"/>
    <w:rsid w:val="00430AF4"/>
    <w:rsid w:val="0044625E"/>
    <w:rsid w:val="00544F87"/>
    <w:rsid w:val="00557745"/>
    <w:rsid w:val="006D6438"/>
    <w:rsid w:val="006F2E64"/>
    <w:rsid w:val="006F65B1"/>
    <w:rsid w:val="007A6743"/>
    <w:rsid w:val="007E11AA"/>
    <w:rsid w:val="00882431"/>
    <w:rsid w:val="008D56E6"/>
    <w:rsid w:val="00923BA7"/>
    <w:rsid w:val="009503B7"/>
    <w:rsid w:val="00957419"/>
    <w:rsid w:val="00983CA4"/>
    <w:rsid w:val="009B115B"/>
    <w:rsid w:val="009D37F5"/>
    <w:rsid w:val="009E2308"/>
    <w:rsid w:val="009F2192"/>
    <w:rsid w:val="00A97D2A"/>
    <w:rsid w:val="00AF5E5E"/>
    <w:rsid w:val="00AF670C"/>
    <w:rsid w:val="00B21021"/>
    <w:rsid w:val="00B270E7"/>
    <w:rsid w:val="00B31177"/>
    <w:rsid w:val="00BB7F3E"/>
    <w:rsid w:val="00CC35DB"/>
    <w:rsid w:val="00D032A1"/>
    <w:rsid w:val="00D61CE3"/>
    <w:rsid w:val="00D9046C"/>
    <w:rsid w:val="00DB4898"/>
    <w:rsid w:val="00DC07E0"/>
    <w:rsid w:val="00E04DE2"/>
    <w:rsid w:val="00EA6960"/>
    <w:rsid w:val="00F10B3C"/>
    <w:rsid w:val="00F323E3"/>
    <w:rsid w:val="00F8671A"/>
    <w:rsid w:val="00FB1A22"/>
    <w:rsid w:val="069E0249"/>
    <w:rsid w:val="09481A58"/>
    <w:rsid w:val="0ABD3EC8"/>
    <w:rsid w:val="0D8C47C5"/>
    <w:rsid w:val="0FCD01F2"/>
    <w:rsid w:val="12A56BBF"/>
    <w:rsid w:val="1C561398"/>
    <w:rsid w:val="30D43019"/>
    <w:rsid w:val="4D7A42CE"/>
    <w:rsid w:val="520E325B"/>
    <w:rsid w:val="6EF930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A22"/>
    <w:pPr>
      <w:widowControl w:val="0"/>
      <w:ind w:firstLineChars="200" w:firstLine="200"/>
    </w:pPr>
    <w:rPr>
      <w:rFonts w:ascii="仿宋_GB2312" w:eastAsia="仿宋_GB2312" w:hAnsi="宋体"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B1A22"/>
    <w:pPr>
      <w:tabs>
        <w:tab w:val="center" w:pos="4153"/>
        <w:tab w:val="right" w:pos="8306"/>
      </w:tabs>
      <w:snapToGrid w:val="0"/>
    </w:pPr>
    <w:rPr>
      <w:sz w:val="18"/>
      <w:szCs w:val="18"/>
    </w:rPr>
  </w:style>
  <w:style w:type="paragraph" w:styleId="a4">
    <w:name w:val="header"/>
    <w:basedOn w:val="a"/>
    <w:link w:val="Char0"/>
    <w:unhideWhenUsed/>
    <w:rsid w:val="00FB1A22"/>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qFormat/>
    <w:rsid w:val="00FB1A22"/>
    <w:pPr>
      <w:ind w:firstLineChars="0" w:firstLine="0"/>
      <w:jc w:val="center"/>
    </w:pPr>
    <w:rPr>
      <w:rFonts w:ascii="方正小标宋简体" w:eastAsia="方正小标宋简体" w:cstheme="minorBidi"/>
      <w:sz w:val="36"/>
      <w:szCs w:val="36"/>
    </w:rPr>
  </w:style>
  <w:style w:type="character" w:styleId="a6">
    <w:name w:val="page number"/>
    <w:basedOn w:val="a0"/>
    <w:qFormat/>
    <w:rsid w:val="00FB1A22"/>
  </w:style>
  <w:style w:type="character" w:customStyle="1" w:styleId="Char0">
    <w:name w:val="页眉 Char"/>
    <w:basedOn w:val="a0"/>
    <w:link w:val="a4"/>
    <w:rsid w:val="00FB1A22"/>
    <w:rPr>
      <w:sz w:val="18"/>
      <w:szCs w:val="18"/>
    </w:rPr>
  </w:style>
  <w:style w:type="character" w:customStyle="1" w:styleId="Char">
    <w:name w:val="页脚 Char"/>
    <w:basedOn w:val="a0"/>
    <w:link w:val="a3"/>
    <w:uiPriority w:val="99"/>
    <w:rsid w:val="00FB1A22"/>
    <w:rPr>
      <w:sz w:val="18"/>
      <w:szCs w:val="18"/>
    </w:rPr>
  </w:style>
  <w:style w:type="character" w:customStyle="1" w:styleId="Char1">
    <w:name w:val="标题 Char"/>
    <w:link w:val="a5"/>
    <w:locked/>
    <w:rsid w:val="00FB1A22"/>
    <w:rPr>
      <w:rFonts w:ascii="方正小标宋简体" w:eastAsia="方正小标宋简体" w:hAnsi="宋体"/>
      <w:sz w:val="36"/>
      <w:szCs w:val="36"/>
    </w:rPr>
  </w:style>
  <w:style w:type="character" w:customStyle="1" w:styleId="Char10">
    <w:name w:val="标题 Char1"/>
    <w:basedOn w:val="a0"/>
    <w:uiPriority w:val="10"/>
    <w:rsid w:val="00FB1A22"/>
    <w:rPr>
      <w:rFonts w:asciiTheme="majorHAnsi" w:eastAsia="宋体" w:hAnsiTheme="majorHAnsi" w:cstheme="majorBidi"/>
      <w:b/>
      <w:bCs/>
      <w:sz w:val="32"/>
      <w:szCs w:val="32"/>
    </w:rPr>
  </w:style>
  <w:style w:type="paragraph" w:styleId="a7">
    <w:name w:val="List Paragraph"/>
    <w:basedOn w:val="a"/>
    <w:uiPriority w:val="99"/>
    <w:unhideWhenUsed/>
    <w:rsid w:val="00FB1A22"/>
    <w:pPr>
      <w:ind w:firstLine="420"/>
    </w:pPr>
  </w:style>
  <w:style w:type="paragraph" w:styleId="a8">
    <w:name w:val="Balloon Text"/>
    <w:basedOn w:val="a"/>
    <w:link w:val="Char2"/>
    <w:uiPriority w:val="99"/>
    <w:semiHidden/>
    <w:unhideWhenUsed/>
    <w:rsid w:val="00D032A1"/>
    <w:rPr>
      <w:sz w:val="18"/>
      <w:szCs w:val="18"/>
    </w:rPr>
  </w:style>
  <w:style w:type="character" w:customStyle="1" w:styleId="Char2">
    <w:name w:val="批注框文本 Char"/>
    <w:basedOn w:val="a0"/>
    <w:link w:val="a8"/>
    <w:uiPriority w:val="99"/>
    <w:semiHidden/>
    <w:rsid w:val="00D032A1"/>
    <w:rPr>
      <w:rFonts w:ascii="仿宋_GB2312" w:eastAsia="仿宋_GB2312" w:hAnsi="宋体"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383</Words>
  <Characters>2185</Characters>
  <Application>Microsoft Office Word</Application>
  <DocSecurity>0</DocSecurity>
  <Lines>18</Lines>
  <Paragraphs>5</Paragraphs>
  <ScaleCrop>false</ScaleCrop>
  <Company>MS</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刘杨</cp:lastModifiedBy>
  <cp:revision>27</cp:revision>
  <dcterms:created xsi:type="dcterms:W3CDTF">2017-12-18T03:16:00Z</dcterms:created>
  <dcterms:modified xsi:type="dcterms:W3CDTF">2018-07-24T07:37:00Z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