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outlineLvl w:val="0"/>
        <w:rPr>
          <w:rFonts w:ascii="黑体" w:hAnsi="黑体" w:eastAsia="黑体" w:cs="Times New Roman"/>
          <w:b/>
          <w:bCs/>
          <w:sz w:val="28"/>
          <w:szCs w:val="28"/>
        </w:rPr>
      </w:pPr>
      <w:r>
        <w:rPr>
          <w:rFonts w:hint="eastAsia" w:ascii="黑体" w:hAnsi="黑体" w:eastAsia="黑体" w:cs="Times New Roman"/>
          <w:b/>
          <w:bCs/>
          <w:sz w:val="28"/>
          <w:szCs w:val="28"/>
        </w:rPr>
        <w:t>寿光市中拓新型建材有限公司年产十万吨建筑石膏粉项目</w:t>
      </w:r>
    </w:p>
    <w:p>
      <w:pPr>
        <w:autoSpaceDE w:val="0"/>
        <w:autoSpaceDN w:val="0"/>
        <w:adjustRightInd w:val="0"/>
        <w:spacing w:line="360" w:lineRule="auto"/>
        <w:jc w:val="center"/>
        <w:outlineLvl w:val="0"/>
        <w:rPr>
          <w:rFonts w:ascii="黑体" w:hAnsi="黑体" w:eastAsia="黑体" w:cs="宋体"/>
          <w:b/>
          <w:kern w:val="0"/>
          <w:sz w:val="28"/>
          <w:szCs w:val="28"/>
        </w:rPr>
      </w:pPr>
      <w:r>
        <w:rPr>
          <w:rFonts w:hint="eastAsia" w:ascii="黑体" w:hAnsi="黑体" w:eastAsia="黑体" w:cs="宋体"/>
          <w:b/>
          <w:kern w:val="0"/>
          <w:sz w:val="28"/>
          <w:szCs w:val="28"/>
        </w:rPr>
        <w:t>环境保护验收意见</w:t>
      </w:r>
    </w:p>
    <w:p>
      <w:pPr>
        <w:spacing w:line="360" w:lineRule="auto"/>
        <w:ind w:firstLine="480" w:firstLineChars="200"/>
        <w:rPr>
          <w:rFonts w:ascii="黑体" w:hAnsi="黑体" w:eastAsia="黑体" w:cs="宋体"/>
          <w:kern w:val="0"/>
          <w:sz w:val="24"/>
          <w:szCs w:val="24"/>
        </w:rPr>
      </w:pPr>
    </w:p>
    <w:p>
      <w:pPr>
        <w:autoSpaceDE w:val="0"/>
        <w:autoSpaceDN w:val="0"/>
        <w:adjustRightInd w:val="0"/>
        <w:spacing w:line="360" w:lineRule="auto"/>
        <w:jc w:val="left"/>
        <w:outlineLvl w:val="0"/>
        <w:rPr>
          <w:rFonts w:cs="Times New Roman" w:asciiTheme="majorEastAsia" w:hAnsiTheme="majorEastAsia" w:eastAsiaTheme="majorEastAsia"/>
          <w:bCs/>
          <w:sz w:val="24"/>
          <w:szCs w:val="24"/>
        </w:rPr>
      </w:pPr>
      <w:r>
        <w:rPr>
          <w:rFonts w:hint="eastAsia" w:asciiTheme="majorEastAsia" w:hAnsiTheme="majorEastAsia" w:eastAsiaTheme="majorEastAsia"/>
          <w:sz w:val="24"/>
          <w:szCs w:val="24"/>
        </w:rPr>
        <w:t xml:space="preserve">    根据《建设项目环境保护管理条例》和《建设项目竣工环境保护验收暂行办法》等要求，</w:t>
      </w:r>
      <w:r>
        <w:rPr>
          <w:rFonts w:hint="eastAsia" w:asciiTheme="majorEastAsia" w:hAnsiTheme="majorEastAsia" w:eastAsiaTheme="majorEastAsia"/>
          <w:kern w:val="0"/>
          <w:sz w:val="24"/>
          <w:szCs w:val="24"/>
        </w:rPr>
        <w:t>2018</w:t>
      </w:r>
      <w:r>
        <w:rPr>
          <w:rFonts w:hint="eastAsia" w:asciiTheme="majorEastAsia" w:hAnsiTheme="majorEastAsia" w:eastAsiaTheme="majorEastAsia"/>
          <w:sz w:val="24"/>
          <w:szCs w:val="24"/>
        </w:rPr>
        <w:t>年</w:t>
      </w:r>
      <w:r>
        <w:rPr>
          <w:rFonts w:asciiTheme="majorEastAsia" w:hAnsiTheme="majorEastAsia" w:eastAsiaTheme="majorEastAsia"/>
          <w:sz w:val="24"/>
          <w:szCs w:val="24"/>
        </w:rPr>
        <w:t>5</w:t>
      </w:r>
      <w:r>
        <w:rPr>
          <w:rFonts w:hint="eastAsia" w:asciiTheme="majorEastAsia" w:hAnsiTheme="majorEastAsia" w:eastAsiaTheme="majorEastAsia"/>
          <w:sz w:val="24"/>
          <w:szCs w:val="24"/>
        </w:rPr>
        <w:t>月2</w:t>
      </w:r>
      <w:r>
        <w:rPr>
          <w:rFonts w:asciiTheme="majorEastAsia" w:hAnsiTheme="majorEastAsia" w:eastAsiaTheme="majorEastAsia"/>
          <w:sz w:val="24"/>
          <w:szCs w:val="24"/>
        </w:rPr>
        <w:t>7</w:t>
      </w:r>
      <w:r>
        <w:rPr>
          <w:rFonts w:hint="eastAsia" w:asciiTheme="majorEastAsia" w:hAnsiTheme="majorEastAsia" w:eastAsiaTheme="majorEastAsia"/>
          <w:sz w:val="24"/>
          <w:szCs w:val="24"/>
        </w:rPr>
        <w:t>日，</w:t>
      </w:r>
      <w:r>
        <w:rPr>
          <w:rFonts w:hint="eastAsia" w:cs="Times New Roman" w:asciiTheme="majorEastAsia" w:hAnsiTheme="majorEastAsia" w:eastAsiaTheme="majorEastAsia"/>
          <w:bCs/>
          <w:sz w:val="24"/>
          <w:szCs w:val="24"/>
        </w:rPr>
        <w:t>寿光市中拓新型建材有限公司在寿光</w:t>
      </w:r>
      <w:r>
        <w:rPr>
          <w:rFonts w:hint="eastAsia" w:asciiTheme="majorEastAsia" w:hAnsiTheme="majorEastAsia" w:eastAsiaTheme="majorEastAsia"/>
          <w:sz w:val="24"/>
          <w:szCs w:val="24"/>
        </w:rPr>
        <w:t>市组织召开了“</w:t>
      </w:r>
      <w:r>
        <w:rPr>
          <w:rFonts w:hint="eastAsia" w:cs="Times New Roman" w:asciiTheme="majorEastAsia" w:hAnsiTheme="majorEastAsia" w:eastAsiaTheme="majorEastAsia"/>
          <w:bCs/>
          <w:sz w:val="24"/>
          <w:szCs w:val="24"/>
        </w:rPr>
        <w:t>寿光市中拓新型建材有限公司年产十万吨建筑石膏粉项目</w:t>
      </w:r>
      <w:r>
        <w:rPr>
          <w:rFonts w:hint="eastAsia" w:asciiTheme="majorEastAsia" w:hAnsiTheme="majorEastAsia" w:eastAsiaTheme="majorEastAsia"/>
          <w:sz w:val="24"/>
          <w:szCs w:val="24"/>
        </w:rPr>
        <w:t>竣工环境保护验收会议”，会上成立了验收工作组。验收工作组由建设单位-</w:t>
      </w:r>
      <w:r>
        <w:rPr>
          <w:rFonts w:hint="eastAsia" w:cs="Times New Roman" w:asciiTheme="majorEastAsia" w:hAnsiTheme="majorEastAsia" w:eastAsiaTheme="majorEastAsia"/>
          <w:bCs/>
          <w:sz w:val="24"/>
          <w:szCs w:val="24"/>
        </w:rPr>
        <w:t>寿光市中拓新型建材有限公司</w:t>
      </w:r>
      <w:r>
        <w:rPr>
          <w:rFonts w:hint="eastAsia" w:asciiTheme="majorEastAsia" w:hAnsiTheme="majorEastAsia" w:eastAsiaTheme="majorEastAsia"/>
          <w:sz w:val="24"/>
          <w:szCs w:val="24"/>
        </w:rPr>
        <w:t>、项目竣工环保验收监测报告编制单位及验收监测单位-</w:t>
      </w:r>
      <w:r>
        <w:rPr>
          <w:rFonts w:hint="eastAsia" w:cs="Times New Roman" w:asciiTheme="majorEastAsia" w:hAnsiTheme="majorEastAsia" w:eastAsiaTheme="majorEastAsia"/>
          <w:sz w:val="24"/>
          <w:szCs w:val="24"/>
        </w:rPr>
        <w:t>山东潍科检测服务有限公司的</w:t>
      </w:r>
      <w:r>
        <w:rPr>
          <w:rFonts w:hint="eastAsia" w:asciiTheme="majorEastAsia" w:hAnsiTheme="majorEastAsia" w:eastAsiaTheme="majorEastAsia"/>
          <w:sz w:val="24"/>
          <w:szCs w:val="24"/>
        </w:rPr>
        <w:t>代表及2名特邀专家组成（验收组人员名单附后）。寿光市环保局参加会议。</w:t>
      </w:r>
    </w:p>
    <w:p>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验收工作组听取了建设单位对项目工程环境保护执行情况和验收报告编制单位对验收报告的汇报，对工程环境保护设施的建设情况进行了现场检查，核实了有关资料。经认真讨论，形成竣工环境保护验收意见如下：</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一、工程建设基本情况</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（一）建设地点、规模、主要建设内容</w:t>
      </w:r>
    </w:p>
    <w:p>
      <w:pPr>
        <w:spacing w:line="360" w:lineRule="auto"/>
        <w:ind w:firstLine="480" w:firstLineChars="200"/>
        <w:jc w:val="left"/>
        <w:rPr>
          <w:rFonts w:cs="Times New Roman" w:asciiTheme="majorEastAsia" w:hAnsiTheme="majorEastAsia" w:eastAsiaTheme="majorEastAsia"/>
          <w:sz w:val="24"/>
          <w:szCs w:val="24"/>
        </w:rPr>
      </w:pPr>
      <w:r>
        <w:rPr>
          <w:rFonts w:hint="eastAsia" w:asciiTheme="majorEastAsia" w:hAnsiTheme="majorEastAsia" w:eastAsiaTheme="majorEastAsia"/>
          <w:sz w:val="24"/>
          <w:szCs w:val="24"/>
        </w:rPr>
        <w:t>寿光市中拓新型建材有限公司年产</w:t>
      </w:r>
      <w:bookmarkStart w:id="0" w:name="_Hlk514871236"/>
      <w:r>
        <w:rPr>
          <w:rFonts w:hint="eastAsia" w:asciiTheme="majorEastAsia" w:hAnsiTheme="majorEastAsia" w:eastAsiaTheme="majorEastAsia"/>
          <w:sz w:val="24"/>
          <w:szCs w:val="24"/>
        </w:rPr>
        <w:t>十万吨建筑石膏粉</w:t>
      </w:r>
      <w:bookmarkEnd w:id="0"/>
      <w:r>
        <w:rPr>
          <w:rFonts w:hint="eastAsia" w:asciiTheme="majorEastAsia" w:hAnsiTheme="majorEastAsia" w:eastAsiaTheme="majorEastAsia"/>
          <w:sz w:val="24"/>
          <w:szCs w:val="24"/>
        </w:rPr>
        <w:t>项目</w:t>
      </w:r>
      <w:r>
        <w:rPr>
          <w:rFonts w:hint="eastAsia" w:cs="Times New Roman" w:asciiTheme="majorEastAsia" w:hAnsiTheme="majorEastAsia" w:eastAsiaTheme="majorEastAsia"/>
          <w:bCs/>
          <w:sz w:val="24"/>
          <w:szCs w:val="24"/>
        </w:rPr>
        <w:t>位于</w:t>
      </w:r>
      <w:bookmarkStart w:id="1" w:name="OLE_LINK8"/>
      <w:r>
        <w:rPr>
          <w:rFonts w:hint="eastAsia" w:cs="Times New Roman" w:asciiTheme="majorEastAsia" w:hAnsiTheme="majorEastAsia" w:eastAsiaTheme="majorEastAsia"/>
          <w:bCs/>
          <w:sz w:val="24"/>
          <w:szCs w:val="24"/>
        </w:rPr>
        <w:t>山东省</w:t>
      </w:r>
      <w:bookmarkEnd w:id="1"/>
      <w:r>
        <w:rPr>
          <w:rFonts w:hint="eastAsia" w:cs="Times New Roman" w:asciiTheme="majorEastAsia" w:hAnsiTheme="majorEastAsia" w:eastAsiaTheme="majorEastAsia"/>
          <w:bCs/>
          <w:sz w:val="24"/>
          <w:szCs w:val="24"/>
        </w:rPr>
        <w:t>寿光市田柳镇富民路以北，工业三路以西。项目占地面积3000平方米，总建筑面积2436</w:t>
      </w:r>
      <w:bookmarkStart w:id="2" w:name="_Hlk512535710"/>
      <w:r>
        <w:rPr>
          <w:rFonts w:hint="eastAsia" w:cs="Times New Roman" w:asciiTheme="majorEastAsia" w:hAnsiTheme="majorEastAsia" w:eastAsiaTheme="majorEastAsia"/>
          <w:bCs/>
          <w:sz w:val="24"/>
          <w:szCs w:val="24"/>
        </w:rPr>
        <w:t>平方米</w:t>
      </w:r>
      <w:bookmarkEnd w:id="2"/>
      <w:r>
        <w:rPr>
          <w:rFonts w:hint="eastAsia" w:cs="Times New Roman" w:asciiTheme="majorEastAsia" w:hAnsiTheme="majorEastAsia" w:eastAsiaTheme="majorEastAsia"/>
          <w:bCs/>
          <w:sz w:val="24"/>
          <w:szCs w:val="24"/>
        </w:rPr>
        <w:t>。</w:t>
      </w:r>
      <w:r>
        <w:rPr>
          <w:rFonts w:hint="eastAsia" w:cs="Times New Roman" w:asciiTheme="majorEastAsia" w:hAnsiTheme="majorEastAsia" w:eastAsiaTheme="majorEastAsia"/>
          <w:sz w:val="24"/>
          <w:szCs w:val="24"/>
        </w:rPr>
        <w:t>主要建设内容为：</w:t>
      </w:r>
      <w:bookmarkStart w:id="3" w:name="_Hlk512535945"/>
      <w:r>
        <w:rPr>
          <w:rFonts w:hint="eastAsia" w:cs="Times New Roman" w:asciiTheme="majorEastAsia" w:hAnsiTheme="majorEastAsia" w:eastAsiaTheme="majorEastAsia"/>
          <w:sz w:val="24"/>
          <w:szCs w:val="24"/>
        </w:rPr>
        <w:t>1座建筑面积3000平方米原料库、1座建筑面积600m平方米钢构生产车间、1座</w:t>
      </w:r>
      <w:r>
        <w:rPr>
          <w:rFonts w:cs="Times New Roman" w:asciiTheme="majorEastAsia" w:hAnsiTheme="majorEastAsia" w:eastAsiaTheme="majorEastAsia"/>
          <w:sz w:val="24"/>
          <w:szCs w:val="24"/>
        </w:rPr>
        <w:t>600</w:t>
      </w:r>
      <w:r>
        <w:rPr>
          <w:rFonts w:hint="eastAsia" w:cs="Times New Roman" w:asciiTheme="majorEastAsia" w:hAnsiTheme="majorEastAsia" w:eastAsiaTheme="majorEastAsia"/>
          <w:sz w:val="24"/>
          <w:szCs w:val="24"/>
        </w:rPr>
        <w:t>平方米</w:t>
      </w:r>
      <w:bookmarkEnd w:id="3"/>
      <w:r>
        <w:rPr>
          <w:rFonts w:hint="eastAsia" w:cs="Times New Roman" w:asciiTheme="majorEastAsia" w:hAnsiTheme="majorEastAsia" w:eastAsiaTheme="majorEastAsia"/>
          <w:sz w:val="24"/>
          <w:szCs w:val="24"/>
        </w:rPr>
        <w:t>成品库、1座</w:t>
      </w:r>
      <w:r>
        <w:rPr>
          <w:rFonts w:cs="Times New Roman" w:asciiTheme="majorEastAsia" w:hAnsiTheme="majorEastAsia" w:eastAsiaTheme="majorEastAsia"/>
          <w:sz w:val="24"/>
          <w:szCs w:val="24"/>
        </w:rPr>
        <w:t>180</w:t>
      </w:r>
      <w:r>
        <w:rPr>
          <w:rFonts w:hint="eastAsia" w:cs="Times New Roman" w:asciiTheme="majorEastAsia" w:hAnsiTheme="majorEastAsia" w:eastAsiaTheme="majorEastAsia"/>
          <w:sz w:val="24"/>
          <w:szCs w:val="24"/>
        </w:rPr>
        <w:t>平方米砖混办公室。购置安装原料仓、卸料振动器、调速计量喂料机、双轴下料器、除铁器、锤片式分散机、运输皮带机、烘干喂料仓、双桨烘干机、振动筛、调速计量喂料机、预热仓、斗式提升机、计量螺旋输送机、回旋锁风器、煅烧炉、粉磨机、成品提升机、成品仓等生产设备设施</w:t>
      </w:r>
      <w:r>
        <w:rPr>
          <w:rFonts w:cs="Times New Roman" w:asciiTheme="majorEastAsia" w:hAnsiTheme="majorEastAsia" w:eastAsiaTheme="majorEastAsia"/>
          <w:sz w:val="24"/>
          <w:szCs w:val="24"/>
        </w:rPr>
        <w:t>59</w:t>
      </w:r>
      <w:r>
        <w:rPr>
          <w:rFonts w:hint="eastAsia" w:cs="Times New Roman" w:asciiTheme="majorEastAsia" w:hAnsiTheme="majorEastAsia" w:eastAsiaTheme="majorEastAsia"/>
          <w:sz w:val="24"/>
          <w:szCs w:val="24"/>
        </w:rPr>
        <w:t>台（套），形成年产10万吨建筑石膏粉的生产能力。</w:t>
      </w:r>
    </w:p>
    <w:p>
      <w:pPr>
        <w:adjustRightInd w:val="0"/>
        <w:snapToGrid w:val="0"/>
        <w:spacing w:line="360" w:lineRule="auto"/>
        <w:ind w:firstLine="595" w:firstLineChars="247"/>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（二）建设过程及环保审批情况</w:t>
      </w:r>
    </w:p>
    <w:p>
      <w:pPr>
        <w:spacing w:line="360" w:lineRule="auto"/>
        <w:ind w:firstLine="560"/>
        <w:rPr>
          <w:rFonts w:cs="Times New Roman" w:asciiTheme="majorEastAsia" w:hAnsiTheme="majorEastAsia" w:eastAsiaTheme="majorEastAsia"/>
          <w:color w:val="FF0000"/>
          <w:sz w:val="24"/>
          <w:szCs w:val="24"/>
        </w:rPr>
      </w:pPr>
      <w:r>
        <w:rPr>
          <w:rFonts w:hint="eastAsia" w:cs="Times New Roman" w:asciiTheme="majorEastAsia" w:hAnsiTheme="majorEastAsia" w:eastAsiaTheme="majorEastAsia"/>
          <w:sz w:val="24"/>
          <w:szCs w:val="24"/>
        </w:rPr>
        <w:t>2016年8月宁夏华之洁环境技术有限公司编制完成了《寿光市中拓新型建材有限公司年产十万吨建筑石膏粉项目竣工环境影响报告表》。寿光市环境保护局于2016年8月22日对本项目环境影响报告表进行了批复。</w:t>
      </w:r>
    </w:p>
    <w:p>
      <w:pPr>
        <w:adjustRightInd w:val="0"/>
        <w:snapToGrid w:val="0"/>
        <w:spacing w:line="360" w:lineRule="auto"/>
        <w:ind w:firstLine="472" w:firstLineChars="196"/>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（三）投资情况</w:t>
      </w:r>
    </w:p>
    <w:p>
      <w:pPr>
        <w:adjustRightInd w:val="0"/>
        <w:snapToGrid w:val="0"/>
        <w:spacing w:line="360" w:lineRule="auto"/>
        <w:ind w:firstLine="480" w:firstLineChars="200"/>
        <w:rPr>
          <w:rFonts w:cs="Times New Roman" w:asciiTheme="majorEastAsia" w:hAnsiTheme="majorEastAsia" w:eastAsiaTheme="majorEastAsia"/>
          <w:bCs/>
          <w:sz w:val="24"/>
          <w:szCs w:val="24"/>
        </w:rPr>
      </w:pPr>
      <w:r>
        <w:rPr>
          <w:rFonts w:hint="eastAsia" w:cs="Times New Roman" w:asciiTheme="majorEastAsia" w:hAnsiTheme="majorEastAsia" w:eastAsiaTheme="majorEastAsia"/>
          <w:bCs/>
          <w:sz w:val="24"/>
          <w:szCs w:val="24"/>
        </w:rPr>
        <w:t>项目总投资6800万元，其中环保投资200万元，环保投资占总投资比例</w:t>
      </w:r>
      <w:r>
        <w:rPr>
          <w:rFonts w:cs="Times New Roman" w:asciiTheme="majorEastAsia" w:hAnsiTheme="majorEastAsia" w:eastAsiaTheme="majorEastAsia"/>
          <w:bCs/>
          <w:sz w:val="24"/>
          <w:szCs w:val="24"/>
        </w:rPr>
        <w:t>2.94</w:t>
      </w:r>
      <w:r>
        <w:rPr>
          <w:rFonts w:hint="eastAsia" w:cs="Times New Roman" w:asciiTheme="majorEastAsia" w:hAnsiTheme="majorEastAsia" w:eastAsiaTheme="majorEastAsia"/>
          <w:bCs/>
          <w:sz w:val="24"/>
          <w:szCs w:val="24"/>
        </w:rPr>
        <w:t>%。</w:t>
      </w:r>
    </w:p>
    <w:p>
      <w:pPr>
        <w:pStyle w:val="2"/>
        <w:spacing w:line="360" w:lineRule="auto"/>
        <w:ind w:firstLine="360" w:firstLineChars="150"/>
        <w:rPr>
          <w:sz w:val="24"/>
          <w:szCs w:val="24"/>
        </w:rPr>
      </w:pPr>
      <w:r>
        <w:rPr>
          <w:rFonts w:hint="eastAsia"/>
          <w:sz w:val="24"/>
          <w:szCs w:val="24"/>
        </w:rPr>
        <w:t>项目劳动定员 18 人，为三班工作制，每班工作 8 小时，年工作 300 天。</w:t>
      </w:r>
    </w:p>
    <w:p>
      <w:pPr>
        <w:pStyle w:val="2"/>
        <w:spacing w:line="360" w:lineRule="auto"/>
        <w:rPr>
          <w:rFonts w:cs="宋体" w:asciiTheme="majorEastAsia" w:hAnsiTheme="majorEastAsia" w:eastAsiaTheme="majorEastAsia"/>
          <w:b/>
          <w:color w:val="000000" w:themeColor="text1"/>
          <w:kern w:val="0"/>
          <w:sz w:val="24"/>
          <w:szCs w:val="24"/>
        </w:rPr>
      </w:pPr>
      <w:r>
        <w:rPr>
          <w:rFonts w:hint="eastAsia" w:cs="宋体" w:asciiTheme="majorEastAsia" w:hAnsiTheme="majorEastAsia" w:eastAsiaTheme="majorEastAsia"/>
          <w:b/>
          <w:color w:val="000000" w:themeColor="text1"/>
          <w:kern w:val="0"/>
          <w:sz w:val="24"/>
          <w:szCs w:val="24"/>
        </w:rPr>
        <w:t>（四）验收范围</w:t>
      </w:r>
    </w:p>
    <w:p>
      <w:pPr>
        <w:pStyle w:val="2"/>
        <w:spacing w:line="360" w:lineRule="auto"/>
        <w:ind w:firstLine="480" w:firstLineChars="200"/>
        <w:rPr>
          <w:rFonts w:asciiTheme="majorEastAsia" w:hAnsiTheme="majorEastAsia" w:eastAsiaTheme="majorEastAsia"/>
          <w:sz w:val="24"/>
          <w:szCs w:val="24"/>
        </w:rPr>
      </w:pPr>
      <w:r>
        <w:rPr>
          <w:rFonts w:hint="eastAsia"/>
          <w:sz w:val="24"/>
          <w:szCs w:val="24"/>
        </w:rPr>
        <w:t>本次环保验收内容按寿光市中拓新型建材有限公司</w:t>
      </w:r>
      <w:r>
        <w:rPr>
          <w:rFonts w:hint="eastAsia" w:cs="Times New Roman" w:asciiTheme="majorEastAsia" w:hAnsiTheme="majorEastAsia" w:eastAsiaTheme="majorEastAsia"/>
          <w:sz w:val="24"/>
          <w:szCs w:val="24"/>
        </w:rPr>
        <w:t>年产十万吨建筑石膏粉</w:t>
      </w:r>
      <w:r>
        <w:rPr>
          <w:rFonts w:hint="eastAsia" w:cs="宋体"/>
          <w:caps/>
          <w:color w:val="000000"/>
          <w:sz w:val="24"/>
          <w:szCs w:val="24"/>
        </w:rPr>
        <w:t>项目实际建设内容和规模验收。</w:t>
      </w:r>
    </w:p>
    <w:p>
      <w:pPr>
        <w:autoSpaceDE w:val="0"/>
        <w:autoSpaceDN w:val="0"/>
        <w:adjustRightInd w:val="0"/>
        <w:spacing w:line="360" w:lineRule="auto"/>
        <w:ind w:firstLine="482" w:firstLineChars="200"/>
        <w:jc w:val="left"/>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二、工程变动情况</w:t>
      </w:r>
    </w:p>
    <w:p>
      <w:pPr>
        <w:pStyle w:val="4"/>
        <w:spacing w:before="124" w:line="360" w:lineRule="auto"/>
        <w:ind w:firstLine="360" w:firstLineChars="15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经现场调查和与建设单位核实，</w:t>
      </w:r>
      <w:r>
        <w:rPr>
          <w:rFonts w:hint="eastAsia" w:cs="Times New Roman" w:asciiTheme="majorEastAsia" w:hAnsiTheme="majorEastAsia" w:eastAsiaTheme="majorEastAsia"/>
          <w:color w:val="000000"/>
          <w:kern w:val="0"/>
          <w:sz w:val="24"/>
          <w:szCs w:val="24"/>
          <w:u w:color="000000"/>
        </w:rPr>
        <w:t>项目变更情况为：原环评设计1座原料库，建筑面积1600平方米；1座生产车间，建筑面积1200平方米；1座成品库，建筑面积1000平方米；实际建设1座原料库，建筑面积500平方米；1座生产车间，建筑面积600平方米；1座成品库，建筑面积600平方米。生产设备增加了1台卸料振动器；增加一台除铁器；增加了7台化验设备；减少了一台罗茨风机；减少1台装载机；</w:t>
      </w:r>
      <w:r>
        <w:rPr>
          <w:rFonts w:hint="eastAsia" w:cs="宋体" w:asciiTheme="majorEastAsia" w:hAnsiTheme="majorEastAsia" w:eastAsiaTheme="majorEastAsia"/>
          <w:kern w:val="0"/>
          <w:sz w:val="24"/>
          <w:szCs w:val="24"/>
        </w:rPr>
        <w:t>项目产能不变。</w:t>
      </w:r>
    </w:p>
    <w:p>
      <w:pPr>
        <w:pStyle w:val="4"/>
        <w:spacing w:before="124" w:line="360" w:lineRule="auto"/>
        <w:ind w:firstLine="480" w:firstLineChars="200"/>
        <w:rPr>
          <w:rFonts w:ascii="Times New Roman" w:hAnsi="Times New Roman" w:cs="Times New Roman"/>
          <w:b/>
          <w:color w:val="000000"/>
          <w:kern w:val="0"/>
          <w:sz w:val="24"/>
          <w:szCs w:val="24"/>
          <w:u w:color="000000"/>
        </w:rPr>
      </w:pPr>
      <w:r>
        <w:rPr>
          <w:rFonts w:hint="eastAsia" w:ascii="宋体" w:eastAsia="宋体" w:cs="宋体"/>
          <w:sz w:val="24"/>
          <w:szCs w:val="24"/>
        </w:rPr>
        <w:t>根据环境保护部《关于印发环评管理中部分行业建设项目重大变动清单的通知》（环办〔2015〕52号），验收组认为以上变更不属于重大变动。</w:t>
      </w:r>
    </w:p>
    <w:p>
      <w:pPr>
        <w:spacing w:line="360" w:lineRule="auto"/>
        <w:rPr>
          <w:rFonts w:ascii="宋体" w:eastAsia="宋体" w:cs="宋体"/>
          <w:b/>
          <w:color w:val="000000"/>
          <w:sz w:val="24"/>
          <w:szCs w:val="24"/>
        </w:rPr>
      </w:pPr>
      <w:r>
        <w:rPr>
          <w:rFonts w:hint="eastAsia" w:ascii="宋体" w:eastAsia="宋体" w:cs="宋体"/>
          <w:b/>
          <w:color w:val="000000"/>
          <w:sz w:val="24"/>
          <w:szCs w:val="24"/>
        </w:rPr>
        <w:t>三、环境保护设施建设情况</w:t>
      </w:r>
    </w:p>
    <w:p>
      <w:pPr>
        <w:adjustRightInd w:val="0"/>
        <w:snapToGrid w:val="0"/>
        <w:spacing w:line="360" w:lineRule="auto"/>
        <w:ind w:firstLine="361" w:firstLineChars="15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（一）废水</w:t>
      </w:r>
    </w:p>
    <w:p>
      <w:pPr>
        <w:adjustRightInd w:val="0"/>
        <w:snapToGrid w:val="0"/>
        <w:spacing w:line="360" w:lineRule="auto"/>
        <w:ind w:firstLine="480" w:firstLineChars="200"/>
        <w:rPr>
          <w:rFonts w:cs="宋体" w:asciiTheme="majorEastAsia" w:hAnsiTheme="majorEastAsia" w:eastAsiaTheme="majorEastAsia"/>
          <w:color w:val="000000"/>
          <w:kern w:val="0"/>
          <w:sz w:val="24"/>
          <w:szCs w:val="24"/>
        </w:rPr>
      </w:pPr>
      <w:r>
        <w:rPr>
          <w:rFonts w:hint="eastAsia" w:cs="宋体" w:asciiTheme="majorEastAsia" w:hAnsiTheme="majorEastAsia" w:eastAsiaTheme="majorEastAsia"/>
          <w:color w:val="000000"/>
          <w:kern w:val="0"/>
          <w:sz w:val="24"/>
          <w:szCs w:val="24"/>
        </w:rPr>
        <w:t>项目无生产废水。项目废水主要是生活污水，生活污水在厂区内化粪池无害化、稳定化沉淀处理后经罐车运至寿光市碧水水务有限公司处理。</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（二）废气</w:t>
      </w:r>
    </w:p>
    <w:p>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项目在煅烧烘干、成品仓装卸等过程都会产生含粉尘废气。项目煅烧烘干时，利用罗茨风机将原料脱硫石膏从煅烧室底部吹入进行层层烘干，煅烧室内部为S型布置的层层腔室结构，顶部设有出气口，连通脉冲布袋除尘器，经脉冲布袋除尘器处理后通过15m高排气筒P3排放；项目成品仓装卸时成品石膏粉经提升机提升，从顶部侧面将产品倒入成品仓中，成品仓顶部设有呼吸孔，经仓顶布袋除尘器处理后，分别经排气筒P1、P2排放。</w:t>
      </w:r>
    </w:p>
    <w:p>
      <w:pPr>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煅烧烘干、成品仓装卸未被完全处理的废气及项目料场少量扬尘废气，以无组织形式排放。</w:t>
      </w:r>
    </w:p>
    <w:p>
      <w:pPr>
        <w:spacing w:line="360" w:lineRule="auto"/>
        <w:ind w:firstLine="412" w:firstLineChars="171"/>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（三）噪声</w:t>
      </w:r>
    </w:p>
    <w:p>
      <w:pPr>
        <w:pStyle w:val="13"/>
        <w:spacing w:line="360" w:lineRule="auto"/>
        <w:ind w:firstLine="560"/>
        <w:rPr>
          <w:rFonts w:cs="Times New Roman" w:asciiTheme="majorEastAsia" w:hAnsiTheme="majorEastAsia" w:eastAsiaTheme="majorEastAsia"/>
          <w:sz w:val="24"/>
          <w:szCs w:val="24"/>
        </w:rPr>
      </w:pPr>
      <w:r>
        <w:rPr>
          <w:rFonts w:cs="Times New Roman" w:asciiTheme="majorEastAsia" w:hAnsiTheme="majorEastAsia" w:eastAsiaTheme="majorEastAsia"/>
          <w:sz w:val="24"/>
          <w:szCs w:val="24"/>
        </w:rPr>
        <w:t>项目噪声主要是生产过程</w:t>
      </w:r>
      <w:r>
        <w:rPr>
          <w:rFonts w:hint="eastAsia" w:cs="Times New Roman" w:asciiTheme="majorEastAsia" w:hAnsiTheme="majorEastAsia" w:eastAsiaTheme="majorEastAsia"/>
          <w:sz w:val="24"/>
          <w:szCs w:val="24"/>
        </w:rPr>
        <w:t>中风机、粉磨机、空压机等</w:t>
      </w:r>
      <w:r>
        <w:rPr>
          <w:rFonts w:cs="Times New Roman" w:asciiTheme="majorEastAsia" w:hAnsiTheme="majorEastAsia" w:eastAsiaTheme="majorEastAsia"/>
          <w:sz w:val="24"/>
          <w:szCs w:val="24"/>
        </w:rPr>
        <w:t>设备运转产生</w:t>
      </w:r>
      <w:r>
        <w:rPr>
          <w:rFonts w:hint="eastAsia" w:cs="Times New Roman" w:asciiTheme="majorEastAsia" w:hAnsiTheme="majorEastAsia" w:eastAsiaTheme="majorEastAsia"/>
          <w:sz w:val="24"/>
          <w:szCs w:val="24"/>
        </w:rPr>
        <w:t>的</w:t>
      </w:r>
      <w:r>
        <w:rPr>
          <w:rFonts w:cs="Times New Roman" w:asciiTheme="majorEastAsia" w:hAnsiTheme="majorEastAsia" w:eastAsiaTheme="majorEastAsia"/>
          <w:sz w:val="24"/>
          <w:szCs w:val="24"/>
        </w:rPr>
        <w:t>噪声</w:t>
      </w:r>
      <w:r>
        <w:rPr>
          <w:rFonts w:hint="eastAsia" w:cs="Times New Roman" w:asciiTheme="majorEastAsia" w:hAnsiTheme="majorEastAsia" w:eastAsiaTheme="majorEastAsia"/>
          <w:sz w:val="24"/>
          <w:szCs w:val="24"/>
        </w:rPr>
        <w:t>，通过采取选用低噪音设备、车间隔声和距离衰减、基础减震等措施进行降噪处理。</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（四）固体废物</w:t>
      </w:r>
    </w:p>
    <w:p>
      <w:pPr>
        <w:adjustRightInd w:val="0"/>
        <w:snapToGrid w:val="0"/>
        <w:spacing w:line="360" w:lineRule="auto"/>
        <w:ind w:firstLine="480" w:firstLineChars="20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 xml:space="preserve">项目煅烧烘干废气脉冲布袋除尘器、项目成品仓顶部布袋除尘器收集的粉尘全部回用于生产；项目生活垃圾由环卫部门定期收集清运。     </w:t>
      </w:r>
    </w:p>
    <w:p>
      <w:pPr>
        <w:adjustRightInd w:val="0"/>
        <w:snapToGrid w:val="0"/>
        <w:spacing w:line="360" w:lineRule="auto"/>
        <w:ind w:firstLine="482" w:firstLineChars="200"/>
        <w:rPr>
          <w:rFonts w:cs="Times New Roman" w:asciiTheme="majorEastAsia" w:hAnsiTheme="majorEastAsia" w:eastAsiaTheme="majorEastAsia"/>
          <w:sz w:val="24"/>
          <w:szCs w:val="24"/>
        </w:rPr>
      </w:pPr>
      <w:r>
        <w:rPr>
          <w:rFonts w:hint="eastAsia" w:cs="宋体" w:asciiTheme="majorEastAsia" w:hAnsiTheme="majorEastAsia" w:eastAsiaTheme="majorEastAsia"/>
          <w:b/>
          <w:kern w:val="0"/>
          <w:sz w:val="24"/>
          <w:szCs w:val="24"/>
        </w:rPr>
        <w:t>（五）其他环境保护设施</w:t>
      </w:r>
    </w:p>
    <w:p>
      <w:pPr>
        <w:spacing w:line="360" w:lineRule="auto"/>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公司设有环保管理机构，环保规章制度基本完善。</w:t>
      </w:r>
    </w:p>
    <w:p>
      <w:pPr>
        <w:spacing w:line="360" w:lineRule="auto"/>
        <w:ind w:firstLine="560"/>
        <w:rPr>
          <w:rFonts w:ascii="宋体" w:eastAsia="宋体" w:cs="宋体"/>
          <w:sz w:val="24"/>
          <w:szCs w:val="24"/>
        </w:rPr>
      </w:pPr>
      <w:r>
        <w:rPr>
          <w:rFonts w:hint="eastAsia" w:asciiTheme="majorEastAsia" w:hAnsiTheme="majorEastAsia" w:eastAsiaTheme="majorEastAsia"/>
          <w:sz w:val="24"/>
          <w:szCs w:val="24"/>
        </w:rPr>
        <w:t>公司编制了</w:t>
      </w:r>
      <w:r>
        <w:rPr>
          <w:rFonts w:hint="eastAsia" w:cs="宋体" w:asciiTheme="majorEastAsia" w:hAnsiTheme="majorEastAsia" w:eastAsiaTheme="majorEastAsia"/>
          <w:sz w:val="24"/>
          <w:szCs w:val="24"/>
        </w:rPr>
        <w:t>《</w:t>
      </w:r>
      <w:bookmarkStart w:id="4" w:name="_Hlk505368768"/>
      <w:r>
        <w:rPr>
          <w:rFonts w:hint="eastAsia" w:cs="Times New Roman" w:asciiTheme="majorEastAsia" w:hAnsiTheme="majorEastAsia" w:eastAsiaTheme="majorEastAsia"/>
          <w:bCs/>
          <w:sz w:val="24"/>
          <w:szCs w:val="24"/>
        </w:rPr>
        <w:t>寿光市中拓新型建材有限公司</w:t>
      </w:r>
      <w:r>
        <w:rPr>
          <w:rFonts w:hint="eastAsia" w:ascii="宋体" w:eastAsia="宋体" w:cs="宋体"/>
          <w:sz w:val="24"/>
          <w:szCs w:val="24"/>
        </w:rPr>
        <w:t>突发环境事件应急预案</w:t>
      </w:r>
      <w:bookmarkEnd w:id="4"/>
      <w:r>
        <w:rPr>
          <w:rFonts w:hint="eastAsia" w:ascii="宋体" w:eastAsia="宋体" w:cs="宋体"/>
          <w:sz w:val="24"/>
          <w:szCs w:val="24"/>
        </w:rPr>
        <w:t>》</w:t>
      </w:r>
      <w:r>
        <w:rPr>
          <w:rFonts w:hint="eastAsia" w:ascii="宋体" w:eastAsia="宋体" w:cs="宋体"/>
          <w:bCs/>
          <w:color w:val="000000"/>
          <w:sz w:val="24"/>
          <w:szCs w:val="24"/>
        </w:rPr>
        <w:t>，适用于本公司的突发环境事件和应急处置工作，</w:t>
      </w:r>
      <w:r>
        <w:rPr>
          <w:rFonts w:hint="eastAsia" w:ascii="宋体" w:eastAsia="宋体" w:cs="宋体"/>
          <w:sz w:val="24"/>
          <w:szCs w:val="24"/>
        </w:rPr>
        <w:t>并在寿光市环境保护局进行登记备案，备案编号：</w:t>
      </w:r>
      <w:r>
        <w:rPr>
          <w:rFonts w:ascii="宋体" w:eastAsia="宋体" w:cs="宋体"/>
          <w:sz w:val="24"/>
          <w:szCs w:val="24"/>
        </w:rPr>
        <w:t>370783-2017-247-L</w:t>
      </w:r>
      <w:r>
        <w:rPr>
          <w:rFonts w:hint="eastAsia" w:ascii="宋体" w:eastAsia="宋体" w:cs="宋体"/>
          <w:sz w:val="24"/>
          <w:szCs w:val="24"/>
        </w:rPr>
        <w:t>。</w:t>
      </w:r>
    </w:p>
    <w:p>
      <w:pPr>
        <w:spacing w:line="360" w:lineRule="auto"/>
        <w:ind w:firstLine="560"/>
        <w:rPr>
          <w:rFonts w:ascii="宋体" w:eastAsia="宋体" w:cs="宋体"/>
          <w:color w:val="000000" w:themeColor="text1"/>
          <w:sz w:val="24"/>
          <w:szCs w:val="24"/>
        </w:rPr>
      </w:pPr>
      <w:r>
        <w:rPr>
          <w:rFonts w:hint="eastAsia" w:ascii="宋体" w:eastAsia="宋体" w:cs="宋体"/>
          <w:color w:val="000000" w:themeColor="text1"/>
          <w:sz w:val="24"/>
          <w:szCs w:val="24"/>
        </w:rPr>
        <w:t>项目的卫生防护距离为100米，该防护距离内未新建居住区等环境敏感建筑物。</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四、环境保护设施调试效果</w:t>
      </w:r>
    </w:p>
    <w:p>
      <w:pPr>
        <w:spacing w:line="360" w:lineRule="auto"/>
        <w:ind w:firstLine="480" w:firstLineChars="200"/>
        <w:rPr>
          <w:rFonts w:cs="Times New Roman" w:asciiTheme="majorEastAsia" w:hAnsiTheme="majorEastAsia" w:eastAsiaTheme="majorEastAsia"/>
          <w:color w:val="000000"/>
          <w:sz w:val="24"/>
          <w:szCs w:val="24"/>
        </w:rPr>
      </w:pPr>
      <w:r>
        <w:rPr>
          <w:rFonts w:hint="eastAsia" w:cs="Times New Roman" w:asciiTheme="majorEastAsia" w:hAnsiTheme="majorEastAsia" w:eastAsiaTheme="majorEastAsia"/>
          <w:sz w:val="24"/>
          <w:szCs w:val="24"/>
        </w:rPr>
        <w:t>山东潍科检测服务有限公司</w:t>
      </w:r>
      <w:r>
        <w:rPr>
          <w:rFonts w:cs="Times New Roman" w:asciiTheme="majorEastAsia" w:hAnsiTheme="majorEastAsia" w:eastAsiaTheme="majorEastAsia"/>
          <w:color w:val="000000"/>
          <w:sz w:val="24"/>
          <w:szCs w:val="24"/>
        </w:rPr>
        <w:t>编制的《</w:t>
      </w:r>
      <w:bookmarkStart w:id="5" w:name="_Hlk514872893"/>
      <w:r>
        <w:rPr>
          <w:rFonts w:hint="eastAsia" w:cs="Times New Roman" w:asciiTheme="majorEastAsia" w:hAnsiTheme="majorEastAsia" w:eastAsiaTheme="majorEastAsia"/>
          <w:bCs/>
          <w:sz w:val="24"/>
          <w:szCs w:val="24"/>
        </w:rPr>
        <w:t>寿光市中拓新型建材有限公司年产十万吨建筑石膏粉项目</w:t>
      </w:r>
      <w:bookmarkEnd w:id="5"/>
      <w:r>
        <w:rPr>
          <w:rFonts w:hint="eastAsia" w:asciiTheme="majorEastAsia" w:hAnsiTheme="majorEastAsia" w:eastAsiaTheme="majorEastAsia"/>
          <w:sz w:val="24"/>
          <w:szCs w:val="24"/>
        </w:rPr>
        <w:t>竣工环境保护验收</w:t>
      </w:r>
      <w:r>
        <w:rPr>
          <w:rFonts w:cs="Times New Roman" w:asciiTheme="majorEastAsia" w:hAnsiTheme="majorEastAsia" w:eastAsiaTheme="majorEastAsia"/>
          <w:color w:val="000000"/>
          <w:sz w:val="24"/>
          <w:szCs w:val="24"/>
        </w:rPr>
        <w:t>监测报告表》表明，验收监测期间项目</w:t>
      </w:r>
      <w:r>
        <w:rPr>
          <w:rFonts w:hint="eastAsia" w:cs="Times New Roman" w:asciiTheme="majorEastAsia" w:hAnsiTheme="majorEastAsia" w:eastAsiaTheme="majorEastAsia"/>
          <w:color w:val="000000"/>
          <w:sz w:val="24"/>
          <w:szCs w:val="24"/>
        </w:rPr>
        <w:t>生产工况稳定，生产负荷为8</w:t>
      </w:r>
      <w:r>
        <w:rPr>
          <w:rFonts w:cs="Times New Roman" w:asciiTheme="majorEastAsia" w:hAnsiTheme="majorEastAsia" w:eastAsiaTheme="majorEastAsia"/>
          <w:color w:val="000000"/>
          <w:sz w:val="24"/>
          <w:szCs w:val="24"/>
        </w:rPr>
        <w:t>2.0</w:t>
      </w:r>
      <w:r>
        <w:rPr>
          <w:rFonts w:hint="eastAsia" w:cs="Times New Roman" w:asciiTheme="majorEastAsia" w:hAnsiTheme="majorEastAsia" w:eastAsiaTheme="majorEastAsia"/>
          <w:color w:val="000000"/>
          <w:sz w:val="24"/>
          <w:szCs w:val="24"/>
        </w:rPr>
        <w:t>%</w:t>
      </w:r>
      <w:r>
        <w:rPr>
          <w:rFonts w:ascii="Bernard MT Condensed" w:hAnsi="Bernard MT Condensed" w:cs="Times New Roman" w:eastAsiaTheme="majorEastAsia"/>
          <w:color w:val="000000"/>
          <w:sz w:val="24"/>
          <w:szCs w:val="24"/>
        </w:rPr>
        <w:t>~</w:t>
      </w:r>
      <w:r>
        <w:rPr>
          <w:rFonts w:cs="Times New Roman" w:asciiTheme="majorEastAsia" w:hAnsiTheme="majorEastAsia" w:eastAsiaTheme="majorEastAsia"/>
          <w:color w:val="000000"/>
          <w:sz w:val="24"/>
          <w:szCs w:val="24"/>
        </w:rPr>
        <w:t>87.3</w:t>
      </w:r>
      <w:r>
        <w:rPr>
          <w:rFonts w:hint="eastAsia" w:cs="Times New Roman" w:asciiTheme="majorEastAsia" w:hAnsiTheme="majorEastAsia" w:eastAsiaTheme="majorEastAsia"/>
          <w:color w:val="000000"/>
          <w:sz w:val="24"/>
          <w:szCs w:val="24"/>
        </w:rPr>
        <w:t>%范围</w:t>
      </w:r>
      <w:r>
        <w:rPr>
          <w:rFonts w:cs="Times New Roman" w:asciiTheme="majorEastAsia" w:hAnsiTheme="majorEastAsia" w:eastAsiaTheme="majorEastAsia"/>
          <w:color w:val="000000"/>
          <w:sz w:val="24"/>
          <w:szCs w:val="24"/>
        </w:rPr>
        <w:t>，能够满足建设项目竣工环境保护验收生产负荷达到75%以上的要求。</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（一）废水</w:t>
      </w:r>
    </w:p>
    <w:p>
      <w:pPr>
        <w:adjustRightInd w:val="0"/>
        <w:snapToGrid w:val="0"/>
        <w:spacing w:line="360" w:lineRule="auto"/>
        <w:ind w:firstLine="480" w:firstLineChars="200"/>
        <w:rPr>
          <w:rFonts w:cs="Courier New" w:asciiTheme="majorEastAsia" w:hAnsiTheme="majorEastAsia" w:eastAsiaTheme="majorEastAsia"/>
          <w:sz w:val="24"/>
          <w:szCs w:val="24"/>
        </w:rPr>
      </w:pPr>
      <w:r>
        <w:rPr>
          <w:rFonts w:hint="eastAsia" w:cs="Courier New" w:asciiTheme="majorEastAsia" w:hAnsiTheme="majorEastAsia" w:eastAsiaTheme="majorEastAsia"/>
          <w:sz w:val="24"/>
          <w:szCs w:val="24"/>
        </w:rPr>
        <w:t>监测结果表明，验收监测期间，生活污水的pH范围为7.09</w:t>
      </w:r>
      <w:r>
        <w:rPr>
          <w:rFonts w:ascii="Times New Roman" w:hAnsi="Times New Roman" w:cs="Times New Roman" w:eastAsiaTheme="majorEastAsia"/>
          <w:sz w:val="24"/>
          <w:szCs w:val="24"/>
        </w:rPr>
        <w:t>~</w:t>
      </w:r>
      <w:r>
        <w:rPr>
          <w:rFonts w:hint="eastAsia" w:cs="Courier New" w:asciiTheme="majorEastAsia" w:hAnsiTheme="majorEastAsia" w:eastAsiaTheme="majorEastAsia"/>
          <w:sz w:val="24"/>
          <w:szCs w:val="24"/>
        </w:rPr>
        <w:t>7.64，其余污染物两天检测结果的日均值取最大值为：化学需氧量为65mg/L，生化需氧量为27.3mg/L，悬浮物为15mg/L，氨氮为3.72mg/L，总磷为0.39mg/L，总氮为17.5mg/L，阴离子表面活性剂未检出，均满足《污水排入城镇下水道水质标准》（GB/T 31962-2015）表1中B等级标准及</w:t>
      </w:r>
      <w:r>
        <w:rPr>
          <w:rFonts w:hint="eastAsia" w:cs="宋体" w:asciiTheme="majorEastAsia" w:hAnsiTheme="majorEastAsia" w:eastAsiaTheme="majorEastAsia"/>
          <w:color w:val="000000"/>
          <w:kern w:val="0"/>
          <w:sz w:val="24"/>
          <w:szCs w:val="24"/>
        </w:rPr>
        <w:t>寿光市碧水水务有限公司</w:t>
      </w:r>
      <w:r>
        <w:rPr>
          <w:rFonts w:hint="eastAsia" w:cs="Courier New" w:asciiTheme="majorEastAsia" w:hAnsiTheme="majorEastAsia" w:eastAsiaTheme="majorEastAsia"/>
          <w:sz w:val="24"/>
          <w:szCs w:val="24"/>
        </w:rPr>
        <w:t>接收要求。</w:t>
      </w:r>
    </w:p>
    <w:p>
      <w:pPr>
        <w:adjustRightInd w:val="0"/>
        <w:snapToGrid w:val="0"/>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（二）废气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cs="宋体"/>
          <w:kern w:val="0"/>
          <w:sz w:val="24"/>
          <w:szCs w:val="24"/>
          <w:u w:val="none"/>
          <w:lang w:val="en-US" w:eastAsia="zh-CN" w:bidi="ar-SA"/>
        </w:rPr>
      </w:pPr>
      <w:bookmarkStart w:id="6" w:name="_Hlk514872849"/>
      <w:r>
        <w:rPr>
          <w:rFonts w:hint="eastAsia" w:asciiTheme="majorEastAsia" w:hAnsiTheme="majorEastAsia" w:eastAsiaTheme="majorEastAsia"/>
          <w:sz w:val="24"/>
          <w:szCs w:val="24"/>
        </w:rPr>
        <w:t>监测结果表明</w:t>
      </w:r>
      <w:bookmarkEnd w:id="6"/>
      <w:r>
        <w:rPr>
          <w:rFonts w:hint="eastAsia" w:asciiTheme="majorEastAsia" w:hAnsiTheme="majorEastAsia" w:eastAsiaTheme="majorEastAsia"/>
          <w:sz w:val="24"/>
          <w:szCs w:val="24"/>
        </w:rPr>
        <w:t>，验收监测期间：煅烧烘干排气筒P3采样口废气颗粒物的排放浓度最大值为8.4 mg/m</w:t>
      </w:r>
      <w:r>
        <w:rPr>
          <w:rFonts w:hint="eastAsia" w:asciiTheme="majorEastAsia" w:hAnsiTheme="majorEastAsia" w:eastAsiaTheme="majorEastAsia"/>
          <w:sz w:val="24"/>
          <w:szCs w:val="24"/>
          <w:vertAlign w:val="superscript"/>
        </w:rPr>
        <w:t>3</w:t>
      </w:r>
      <w:r>
        <w:rPr>
          <w:rFonts w:hint="eastAsia" w:asciiTheme="majorEastAsia" w:hAnsiTheme="majorEastAsia" w:eastAsiaTheme="majorEastAsia"/>
          <w:sz w:val="24"/>
          <w:szCs w:val="24"/>
        </w:rPr>
        <w:t>，成品仓装卸排气筒P1采样口废气颗粒物的排放浓度最大值为9.0 mg/m</w:t>
      </w:r>
      <w:r>
        <w:rPr>
          <w:rFonts w:hint="eastAsia" w:asciiTheme="majorEastAsia" w:hAnsiTheme="majorEastAsia" w:eastAsiaTheme="majorEastAsia"/>
          <w:sz w:val="24"/>
          <w:szCs w:val="24"/>
          <w:vertAlign w:val="superscript"/>
        </w:rPr>
        <w:t>3</w:t>
      </w:r>
      <w:r>
        <w:rPr>
          <w:rFonts w:hint="eastAsia" w:asciiTheme="majorEastAsia" w:hAnsiTheme="majorEastAsia" w:eastAsiaTheme="majorEastAsia"/>
          <w:sz w:val="24"/>
          <w:szCs w:val="24"/>
        </w:rPr>
        <w:t>，成品仓装卸排气筒P2采样口废气颗粒物的排放浓度最大值为7.9 mg/m</w:t>
      </w:r>
      <w:r>
        <w:rPr>
          <w:rFonts w:hint="eastAsia" w:asciiTheme="majorEastAsia" w:hAnsiTheme="majorEastAsia" w:eastAsiaTheme="majorEastAsia"/>
          <w:sz w:val="24"/>
          <w:szCs w:val="24"/>
          <w:vertAlign w:val="superscript"/>
        </w:rPr>
        <w:t>3</w:t>
      </w:r>
      <w:r>
        <w:rPr>
          <w:rFonts w:hint="eastAsia" w:asciiTheme="majorEastAsia" w:hAnsiTheme="majorEastAsia" w:eastAsiaTheme="majorEastAsia"/>
          <w:sz w:val="24"/>
          <w:szCs w:val="24"/>
        </w:rPr>
        <w:t>，均满足《山东省区域性大气污染物综合排放标准》（DB37/2376-2013）中表2重点控制区排放限值要求。</w:t>
      </w:r>
      <w:r>
        <w:rPr>
          <w:rFonts w:hint="eastAsia" w:ascii="Times New Roman" w:hAnsi="Times New Roman" w:cs="宋体"/>
          <w:kern w:val="0"/>
          <w:sz w:val="24"/>
          <w:szCs w:val="24"/>
          <w:u w:val="none"/>
          <w:lang w:val="en-US" w:eastAsia="zh-CN" w:bidi="ar-SA"/>
        </w:rPr>
        <w:t>两成品仓装卸排气筒P</w:t>
      </w:r>
      <w:r>
        <w:rPr>
          <w:rFonts w:hint="eastAsia" w:ascii="Times New Roman" w:hAnsi="Times New Roman" w:cs="宋体"/>
          <w:kern w:val="0"/>
          <w:sz w:val="24"/>
          <w:szCs w:val="24"/>
          <w:u w:val="none"/>
          <w:vertAlign w:val="subscript"/>
          <w:lang w:val="en-US" w:eastAsia="zh-CN" w:bidi="ar-SA"/>
        </w:rPr>
        <w:t>1</w:t>
      </w:r>
      <w:r>
        <w:rPr>
          <w:rFonts w:hint="eastAsia" w:ascii="Times New Roman" w:hAnsi="Times New Roman" w:cs="宋体"/>
          <w:kern w:val="0"/>
          <w:sz w:val="24"/>
          <w:szCs w:val="24"/>
          <w:u w:val="none"/>
          <w:lang w:val="en-US" w:eastAsia="zh-CN" w:bidi="ar-SA"/>
        </w:rPr>
        <w:t>和成品仓装卸排气筒P</w:t>
      </w:r>
      <w:r>
        <w:rPr>
          <w:rFonts w:hint="eastAsia" w:ascii="Times New Roman" w:hAnsi="Times New Roman" w:cs="宋体"/>
          <w:kern w:val="0"/>
          <w:sz w:val="24"/>
          <w:szCs w:val="24"/>
          <w:u w:val="none"/>
          <w:vertAlign w:val="subscript"/>
          <w:lang w:val="en-US" w:eastAsia="zh-CN" w:bidi="ar-SA"/>
        </w:rPr>
        <w:t>2</w:t>
      </w:r>
      <w:r>
        <w:rPr>
          <w:rFonts w:hint="eastAsia" w:ascii="Times New Roman" w:hAnsi="Times New Roman" w:cs="宋体"/>
          <w:kern w:val="0"/>
          <w:sz w:val="24"/>
          <w:szCs w:val="24"/>
          <w:u w:val="none"/>
          <w:lang w:val="en-US" w:eastAsia="zh-CN" w:bidi="ar-SA"/>
        </w:rPr>
        <w:t>两者高度均为20米，两排气筒距离小于两个排气筒的高度之和，应以一个等效排气筒代表该两个排气筒，则等效排气筒颗粒物的排放速率为0.059kg/h。成品仓装卸排气筒与煅烧烘干排气筒P</w:t>
      </w:r>
      <w:r>
        <w:rPr>
          <w:rFonts w:hint="eastAsia" w:ascii="Times New Roman" w:hAnsi="Times New Roman" w:cs="宋体"/>
          <w:kern w:val="0"/>
          <w:sz w:val="24"/>
          <w:szCs w:val="24"/>
          <w:u w:val="none"/>
          <w:vertAlign w:val="subscript"/>
          <w:lang w:val="en-US" w:eastAsia="zh-CN" w:bidi="ar-SA"/>
        </w:rPr>
        <w:t>3</w:t>
      </w:r>
      <w:r>
        <w:rPr>
          <w:rFonts w:hint="eastAsia" w:ascii="Times New Roman" w:hAnsi="Times New Roman" w:cs="宋体"/>
          <w:kern w:val="0"/>
          <w:sz w:val="24"/>
          <w:szCs w:val="24"/>
          <w:u w:val="none"/>
          <w:lang w:val="en-US" w:eastAsia="zh-CN" w:bidi="ar-SA"/>
        </w:rPr>
        <w:t>的距离小于两个排气筒的高度之和，应以一个等效排气筒代表该两个排气筒，则等效排气筒颗粒物的排放速率为0.179kg/h，均满足《大气污染物综合排放标准》（GB16297-1996）表2中有组织废气颗粒物排放速率的监控浓度限值要求。</w:t>
      </w:r>
    </w:p>
    <w:p>
      <w:pPr>
        <w:pStyle w:val="2"/>
        <w:spacing w:line="360" w:lineRule="auto"/>
        <w:ind w:firstLine="600" w:firstLineChars="250"/>
        <w:rPr>
          <w:sz w:val="24"/>
          <w:szCs w:val="24"/>
        </w:rPr>
      </w:pPr>
      <w:r>
        <w:rPr>
          <w:rFonts w:hint="eastAsia"/>
          <w:sz w:val="24"/>
          <w:szCs w:val="24"/>
        </w:rPr>
        <w:t>项目无组织废气颗粒物最大排放浓度为0.319mg/m</w:t>
      </w:r>
      <w:r>
        <w:rPr>
          <w:rFonts w:hint="eastAsia"/>
          <w:sz w:val="24"/>
          <w:szCs w:val="24"/>
          <w:vertAlign w:val="superscript"/>
        </w:rPr>
        <w:t>3</w:t>
      </w:r>
      <w:r>
        <w:rPr>
          <w:rFonts w:hint="eastAsia"/>
          <w:sz w:val="24"/>
          <w:szCs w:val="24"/>
        </w:rPr>
        <w:t>，均满足大气污染物综合排放标准》（GB16297-1996）表2中无组织排放监控浓度限值要求。</w:t>
      </w:r>
    </w:p>
    <w:p>
      <w:pPr>
        <w:pStyle w:val="2"/>
        <w:spacing w:line="360" w:lineRule="auto"/>
        <w:ind w:firstLine="482" w:firstLineChars="200"/>
        <w:rPr>
          <w:sz w:val="24"/>
          <w:szCs w:val="24"/>
        </w:rPr>
      </w:pPr>
      <w:r>
        <w:rPr>
          <w:rFonts w:hint="eastAsia" w:cs="宋体" w:asciiTheme="majorEastAsia" w:hAnsiTheme="majorEastAsia" w:eastAsiaTheme="majorEastAsia"/>
          <w:b/>
          <w:kern w:val="0"/>
          <w:sz w:val="24"/>
          <w:szCs w:val="24"/>
        </w:rPr>
        <w:t>（三）噪声</w:t>
      </w:r>
    </w:p>
    <w:p>
      <w:pPr>
        <w:spacing w:line="360" w:lineRule="auto"/>
        <w:ind w:firstLine="600" w:firstLineChars="250"/>
        <w:rPr>
          <w:rFonts w:cs="Times New Roman" w:asciiTheme="majorEastAsia" w:hAnsiTheme="majorEastAsia" w:eastAsiaTheme="majorEastAsia"/>
          <w:sz w:val="24"/>
          <w:szCs w:val="24"/>
        </w:rPr>
      </w:pPr>
      <w:r>
        <w:rPr>
          <w:rFonts w:hint="eastAsia" w:cs="Times New Roman" w:asciiTheme="majorEastAsia" w:hAnsiTheme="majorEastAsia" w:eastAsiaTheme="majorEastAsia"/>
          <w:sz w:val="24"/>
          <w:szCs w:val="24"/>
        </w:rPr>
        <w:t>监测结果表明，验收监测期间，该项目厂界两天昼间噪声最大值为54.6dB（A），夜间噪声最大值48.7dB（A），均满足《工业企业厂界环境噪声排放标准》（GB12348-2008）中2类区标准要求。</w:t>
      </w:r>
    </w:p>
    <w:p>
      <w:pPr>
        <w:spacing w:line="360" w:lineRule="auto"/>
        <w:ind w:firstLine="482" w:firstLineChars="2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（四）固体废物</w:t>
      </w:r>
    </w:p>
    <w:p>
      <w:pPr>
        <w:adjustRightInd w:val="0"/>
        <w:snapToGrid w:val="0"/>
        <w:spacing w:line="360" w:lineRule="auto"/>
        <w:ind w:firstLine="480" w:firstLineChars="200"/>
        <w:rPr>
          <w:rFonts w:cs="Times New Roman" w:asciiTheme="majorEastAsia" w:hAnsiTheme="majorEastAsia" w:eastAsiaTheme="majorEastAsia"/>
          <w:bCs/>
          <w:sz w:val="24"/>
          <w:szCs w:val="24"/>
        </w:rPr>
      </w:pPr>
      <w:r>
        <w:rPr>
          <w:rFonts w:hint="eastAsia" w:cs="Times New Roman" w:asciiTheme="majorEastAsia" w:hAnsiTheme="majorEastAsia" w:eastAsiaTheme="majorEastAsia"/>
          <w:bCs/>
          <w:sz w:val="24"/>
          <w:szCs w:val="24"/>
        </w:rPr>
        <w:t>项目固体废物主要为生产性固体废物和生活垃圾，均为一般固体废物；边脚料收集后外售；生活垃圾均由环卫部门定期清运处理，送往城市垃圾处理厂集中处置。</w:t>
      </w:r>
    </w:p>
    <w:p>
      <w:pPr>
        <w:pStyle w:val="2"/>
        <w:spacing w:line="360" w:lineRule="auto"/>
        <w:ind w:firstLine="480" w:firstLineChars="200"/>
        <w:rPr>
          <w:sz w:val="24"/>
          <w:szCs w:val="24"/>
        </w:rPr>
      </w:pPr>
      <w:r>
        <w:rPr>
          <w:rFonts w:hint="eastAsia"/>
          <w:sz w:val="24"/>
          <w:szCs w:val="24"/>
        </w:rPr>
        <w:t>固体废物均得到合理处置，符合环保要求。</w:t>
      </w:r>
    </w:p>
    <w:p>
      <w:pPr>
        <w:adjustRightInd w:val="0"/>
        <w:snapToGrid w:val="0"/>
        <w:spacing w:line="360" w:lineRule="auto"/>
        <w:ind w:firstLine="723" w:firstLineChars="300"/>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五、验收结论</w:t>
      </w:r>
    </w:p>
    <w:p>
      <w:pPr>
        <w:spacing w:line="360" w:lineRule="auto"/>
        <w:ind w:firstLine="480" w:firstLineChars="200"/>
        <w:rPr>
          <w:rFonts w:cs="Times New Roman" w:asciiTheme="majorEastAsia" w:hAnsiTheme="majorEastAsia" w:eastAsiaTheme="majorEastAsia"/>
          <w:color w:val="000000"/>
          <w:sz w:val="24"/>
          <w:szCs w:val="24"/>
        </w:rPr>
      </w:pPr>
      <w:r>
        <w:rPr>
          <w:rFonts w:hint="eastAsia" w:cs="Times New Roman" w:asciiTheme="majorEastAsia" w:hAnsiTheme="majorEastAsia" w:eastAsiaTheme="majorEastAsia"/>
          <w:bCs/>
          <w:sz w:val="24"/>
          <w:szCs w:val="24"/>
        </w:rPr>
        <w:t>寿光市中拓新型建材有限公司年产十万吨建筑石膏粉项目环</w:t>
      </w:r>
      <w:r>
        <w:rPr>
          <w:rFonts w:hint="eastAsia" w:cs="宋体" w:asciiTheme="majorEastAsia" w:hAnsiTheme="majorEastAsia" w:eastAsiaTheme="majorEastAsia"/>
          <w:sz w:val="24"/>
          <w:szCs w:val="24"/>
        </w:rPr>
        <w:t>保手续齐全，总体落实了环评及批复中的环保要求，</w:t>
      </w:r>
      <w:r>
        <w:rPr>
          <w:rFonts w:cs="Times New Roman" w:asciiTheme="majorEastAsia" w:hAnsiTheme="majorEastAsia" w:eastAsiaTheme="majorEastAsia"/>
          <w:color w:val="000000"/>
          <w:sz w:val="24"/>
          <w:szCs w:val="24"/>
        </w:rPr>
        <w:t>根据验收监测</w:t>
      </w:r>
      <w:r>
        <w:rPr>
          <w:rFonts w:hint="eastAsia" w:cs="Times New Roman" w:asciiTheme="majorEastAsia" w:hAnsiTheme="majorEastAsia" w:eastAsiaTheme="majorEastAsia"/>
          <w:color w:val="000000"/>
          <w:sz w:val="24"/>
          <w:szCs w:val="24"/>
        </w:rPr>
        <w:t>数据</w:t>
      </w:r>
      <w:r>
        <w:rPr>
          <w:rFonts w:cs="Times New Roman" w:asciiTheme="majorEastAsia" w:hAnsiTheme="majorEastAsia" w:eastAsiaTheme="majorEastAsia"/>
          <w:color w:val="000000"/>
          <w:sz w:val="24"/>
          <w:szCs w:val="24"/>
        </w:rPr>
        <w:t>可知，</w:t>
      </w:r>
      <w:r>
        <w:rPr>
          <w:rFonts w:hint="eastAsia" w:cs="Times New Roman" w:asciiTheme="majorEastAsia" w:hAnsiTheme="majorEastAsia" w:eastAsiaTheme="majorEastAsia"/>
          <w:color w:val="000000"/>
          <w:sz w:val="24"/>
          <w:szCs w:val="24"/>
        </w:rPr>
        <w:t>各类</w:t>
      </w:r>
      <w:r>
        <w:rPr>
          <w:rFonts w:cs="Times New Roman" w:asciiTheme="majorEastAsia" w:hAnsiTheme="majorEastAsia" w:eastAsiaTheme="majorEastAsia"/>
          <w:color w:val="000000"/>
          <w:sz w:val="24"/>
          <w:szCs w:val="24"/>
        </w:rPr>
        <w:t>污染物达标排放，符合建设项目竣工环保验收条件，</w:t>
      </w:r>
      <w:r>
        <w:rPr>
          <w:rFonts w:hint="eastAsia" w:cs="Times New Roman" w:asciiTheme="majorEastAsia" w:hAnsiTheme="majorEastAsia" w:eastAsiaTheme="majorEastAsia"/>
          <w:color w:val="000000"/>
          <w:sz w:val="24"/>
          <w:szCs w:val="24"/>
        </w:rPr>
        <w:t>项目工程</w:t>
      </w:r>
      <w:r>
        <w:rPr>
          <w:rFonts w:cs="Times New Roman" w:asciiTheme="majorEastAsia" w:hAnsiTheme="majorEastAsia" w:eastAsiaTheme="majorEastAsia"/>
          <w:color w:val="000000"/>
          <w:sz w:val="24"/>
          <w:szCs w:val="24"/>
        </w:rPr>
        <w:t>竣工环境保护验收合格。</w:t>
      </w:r>
    </w:p>
    <w:p>
      <w:pPr>
        <w:autoSpaceDE w:val="0"/>
        <w:autoSpaceDN w:val="0"/>
        <w:adjustRightInd w:val="0"/>
        <w:spacing w:line="360" w:lineRule="auto"/>
        <w:ind w:right="25" w:rightChars="12" w:firstLine="600" w:firstLineChars="249"/>
        <w:rPr>
          <w:rFonts w:asciiTheme="majorEastAsia" w:hAnsiTheme="majorEastAsia" w:eastAsiaTheme="majorEastAsia"/>
          <w:b/>
          <w:bCs/>
          <w:kern w:val="0"/>
          <w:sz w:val="24"/>
          <w:szCs w:val="24"/>
        </w:rPr>
      </w:pPr>
      <w:r>
        <w:rPr>
          <w:rFonts w:hint="eastAsia" w:asciiTheme="majorEastAsia" w:hAnsiTheme="majorEastAsia" w:eastAsiaTheme="majorEastAsia"/>
          <w:b/>
          <w:bCs/>
          <w:kern w:val="0"/>
          <w:sz w:val="24"/>
          <w:szCs w:val="24"/>
        </w:rPr>
        <w:t>六、后续工作</w:t>
      </w:r>
    </w:p>
    <w:p>
      <w:pPr>
        <w:spacing w:line="360" w:lineRule="auto"/>
        <w:ind w:firstLine="480" w:firstLineChars="200"/>
        <w:rPr>
          <w:rFonts w:cs="Times New Roman" w:asciiTheme="majorEastAsia" w:hAnsiTheme="majorEastAsia" w:eastAsiaTheme="majorEastAsia"/>
          <w:color w:val="000000"/>
          <w:sz w:val="24"/>
          <w:szCs w:val="24"/>
        </w:rPr>
      </w:pPr>
      <w:r>
        <w:rPr>
          <w:rFonts w:cs="Times New Roman" w:asciiTheme="majorEastAsia" w:hAnsiTheme="majorEastAsia" w:eastAsiaTheme="majorEastAsia"/>
          <w:color w:val="000000"/>
          <w:sz w:val="24"/>
          <w:szCs w:val="24"/>
        </w:rPr>
        <w:t>1、切实落实环境保护监测计划，定期开展废气、噪声跟踪监测，并做好记录；</w:t>
      </w:r>
      <w:r>
        <w:rPr>
          <w:rFonts w:hint="eastAsia" w:cs="Times New Roman" w:asciiTheme="majorEastAsia" w:hAnsiTheme="majorEastAsia" w:eastAsiaTheme="majorEastAsia"/>
          <w:color w:val="000000"/>
          <w:sz w:val="24"/>
          <w:szCs w:val="24"/>
        </w:rPr>
        <w:t>建设规范的采样口，设置标识标志；</w:t>
      </w:r>
      <w:r>
        <w:rPr>
          <w:rFonts w:cs="Times New Roman" w:asciiTheme="majorEastAsia" w:hAnsiTheme="majorEastAsia" w:eastAsiaTheme="majorEastAsia"/>
          <w:color w:val="000000"/>
          <w:sz w:val="24"/>
          <w:szCs w:val="24"/>
        </w:rPr>
        <w:t>按照《企事业单位环境信息公开管理办法》要求进行环境信息公开。</w:t>
      </w:r>
    </w:p>
    <w:p>
      <w:pPr>
        <w:spacing w:line="360" w:lineRule="auto"/>
        <w:ind w:firstLine="480" w:firstLineChars="200"/>
        <w:rPr>
          <w:rFonts w:cs="Times New Roman" w:asciiTheme="majorEastAsia" w:hAnsiTheme="majorEastAsia" w:eastAsiaTheme="majorEastAsia"/>
          <w:color w:val="000000"/>
          <w:sz w:val="24"/>
          <w:szCs w:val="24"/>
        </w:rPr>
      </w:pPr>
      <w:r>
        <w:rPr>
          <w:rFonts w:cs="Times New Roman" w:asciiTheme="majorEastAsia" w:hAnsiTheme="majorEastAsia" w:eastAsiaTheme="majorEastAsia"/>
          <w:color w:val="000000"/>
          <w:sz w:val="24"/>
          <w:szCs w:val="24"/>
        </w:rPr>
        <w:t>2、加强各类环保设施的日常维护和管理，确保环保设施正常运转；如遇环保设施检修、停运等情况，要及时向当地环保部门报告，并如实记录备查。</w:t>
      </w:r>
    </w:p>
    <w:p>
      <w:pPr>
        <w:autoSpaceDE w:val="0"/>
        <w:autoSpaceDN w:val="0"/>
        <w:adjustRightInd w:val="0"/>
        <w:spacing w:line="360" w:lineRule="auto"/>
        <w:ind w:firstLine="480" w:firstLineChars="200"/>
        <w:outlineLvl w:val="2"/>
        <w:rPr>
          <w:rFonts w:asciiTheme="majorEastAsia" w:hAnsiTheme="majorEastAsia" w:eastAsiaTheme="majorEastAsia"/>
          <w:sz w:val="24"/>
          <w:szCs w:val="24"/>
        </w:rPr>
      </w:pPr>
      <w:r>
        <w:rPr>
          <w:rFonts w:hint="eastAsia" w:asciiTheme="majorEastAsia" w:hAnsiTheme="majorEastAsia" w:eastAsiaTheme="majorEastAsia"/>
          <w:sz w:val="24"/>
          <w:szCs w:val="24"/>
        </w:rPr>
        <w:t>3.进一步健全环保管理部门、人员，加强对环保管理人员环保设施运行管理的培训，提高员工的环保意识。</w:t>
      </w:r>
    </w:p>
    <w:p>
      <w:pPr>
        <w:autoSpaceDE w:val="0"/>
        <w:autoSpaceDN w:val="0"/>
        <w:adjustRightInd w:val="0"/>
        <w:spacing w:line="360" w:lineRule="auto"/>
        <w:ind w:firstLine="560"/>
        <w:outlineLvl w:val="2"/>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4、按关于发布《建设项目竣工环境保护验收暂行办法》的公告（国环规环评[2017]4号）的规定，噪声和固废环保设施经主管环保部门验收后，项目可正式投入生产运行。</w:t>
      </w:r>
    </w:p>
    <w:p>
      <w:pPr>
        <w:spacing w:line="360" w:lineRule="auto"/>
        <w:ind w:left="420" w:leftChars="200" w:firstLine="4563" w:firstLineChars="1894"/>
        <w:jc w:val="left"/>
        <w:rPr>
          <w:rFonts w:cs="Times New Roman" w:asciiTheme="majorEastAsia" w:hAnsiTheme="majorEastAsia" w:eastAsiaTheme="majorEastAsia"/>
          <w:b/>
          <w:color w:val="000000"/>
          <w:sz w:val="24"/>
          <w:szCs w:val="24"/>
        </w:rPr>
      </w:pPr>
      <w:r>
        <w:rPr>
          <w:rFonts w:cs="Times New Roman" w:asciiTheme="majorEastAsia" w:hAnsiTheme="majorEastAsia" w:eastAsiaTheme="majorEastAsia"/>
          <w:b/>
          <w:color w:val="000000"/>
          <w:sz w:val="24"/>
          <w:szCs w:val="24"/>
        </w:rPr>
        <w:t>验收组</w:t>
      </w:r>
    </w:p>
    <w:p>
      <w:pPr>
        <w:spacing w:line="360" w:lineRule="auto"/>
        <w:ind w:firstLine="4421" w:firstLineChars="1835"/>
        <w:jc w:val="left"/>
        <w:rPr>
          <w:rFonts w:cs="Times New Roman" w:asciiTheme="majorEastAsia" w:hAnsiTheme="majorEastAsia" w:eastAsiaTheme="majorEastAsia"/>
          <w:b/>
          <w:sz w:val="24"/>
          <w:szCs w:val="24"/>
        </w:rPr>
      </w:pPr>
      <w:r>
        <w:rPr>
          <w:rFonts w:cs="Times New Roman" w:asciiTheme="majorEastAsia" w:hAnsiTheme="majorEastAsia" w:eastAsiaTheme="majorEastAsia"/>
          <w:b/>
          <w:sz w:val="24"/>
          <w:szCs w:val="24"/>
        </w:rPr>
        <w:t>2018年</w:t>
      </w:r>
      <w:r>
        <w:rPr>
          <w:rFonts w:hint="eastAsia" w:cs="Times New Roman" w:asciiTheme="majorEastAsia" w:hAnsiTheme="majorEastAsia" w:eastAsiaTheme="majorEastAsia"/>
          <w:b/>
          <w:sz w:val="24"/>
          <w:szCs w:val="24"/>
          <w:lang w:val="en-US" w:eastAsia="zh-CN"/>
        </w:rPr>
        <w:t>11</w:t>
      </w:r>
      <w:r>
        <w:rPr>
          <w:rFonts w:cs="Times New Roman" w:asciiTheme="majorEastAsia" w:hAnsiTheme="majorEastAsia" w:eastAsiaTheme="majorEastAsia"/>
          <w:b/>
          <w:sz w:val="24"/>
          <w:szCs w:val="24"/>
        </w:rPr>
        <w:t>月</w:t>
      </w:r>
      <w:r>
        <w:rPr>
          <w:rFonts w:hint="eastAsia" w:cs="Times New Roman" w:asciiTheme="majorEastAsia" w:hAnsiTheme="majorEastAsia" w:eastAsiaTheme="majorEastAsia"/>
          <w:b/>
          <w:sz w:val="24"/>
          <w:szCs w:val="24"/>
          <w:lang w:val="en-US" w:eastAsia="zh-CN"/>
        </w:rPr>
        <w:t>10</w:t>
      </w:r>
      <w:r>
        <w:rPr>
          <w:rFonts w:cs="Times New Roman" w:asciiTheme="majorEastAsia" w:hAnsiTheme="majorEastAsia" w:eastAsiaTheme="majorEastAsia"/>
          <w:b/>
          <w:sz w:val="24"/>
          <w:szCs w:val="24"/>
        </w:rPr>
        <w:t>日</w:t>
      </w:r>
    </w:p>
    <w:p>
      <w:pPr>
        <w:autoSpaceDE w:val="0"/>
        <w:autoSpaceDN w:val="0"/>
        <w:adjustRightInd w:val="0"/>
        <w:spacing w:line="360" w:lineRule="auto"/>
        <w:ind w:firstLine="570"/>
        <w:jc w:val="left"/>
        <w:outlineLvl w:val="0"/>
        <w:rPr>
          <w:rFonts w:cs="宋体" w:asciiTheme="majorEastAsia" w:hAnsiTheme="majorEastAsia" w:eastAsiaTheme="majorEastAsia"/>
          <w:kern w:val="0"/>
          <w:sz w:val="24"/>
          <w:szCs w:val="24"/>
        </w:rPr>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Bernard MT Condensed">
    <w:panose1 w:val="02050806060905020404"/>
    <w:charset w:val="00"/>
    <w:family w:val="roman"/>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5286"/>
    <w:rsid w:val="00053EB3"/>
    <w:rsid w:val="0008633C"/>
    <w:rsid w:val="000E42DA"/>
    <w:rsid w:val="00135045"/>
    <w:rsid w:val="00230EA1"/>
    <w:rsid w:val="002369BB"/>
    <w:rsid w:val="00294CEE"/>
    <w:rsid w:val="002F6E95"/>
    <w:rsid w:val="00362A29"/>
    <w:rsid w:val="00370EFC"/>
    <w:rsid w:val="00376B95"/>
    <w:rsid w:val="003E4141"/>
    <w:rsid w:val="003F0415"/>
    <w:rsid w:val="004709BB"/>
    <w:rsid w:val="004746D7"/>
    <w:rsid w:val="005428C7"/>
    <w:rsid w:val="00580056"/>
    <w:rsid w:val="00591460"/>
    <w:rsid w:val="005B3B66"/>
    <w:rsid w:val="005F5A54"/>
    <w:rsid w:val="0064261E"/>
    <w:rsid w:val="0067225D"/>
    <w:rsid w:val="0069458F"/>
    <w:rsid w:val="00696845"/>
    <w:rsid w:val="006C2928"/>
    <w:rsid w:val="00705464"/>
    <w:rsid w:val="00795286"/>
    <w:rsid w:val="007B2505"/>
    <w:rsid w:val="007B2917"/>
    <w:rsid w:val="007E0930"/>
    <w:rsid w:val="007F5009"/>
    <w:rsid w:val="00880EF7"/>
    <w:rsid w:val="008E70F7"/>
    <w:rsid w:val="00947872"/>
    <w:rsid w:val="009A082D"/>
    <w:rsid w:val="009A5A19"/>
    <w:rsid w:val="009A64FE"/>
    <w:rsid w:val="00A570DF"/>
    <w:rsid w:val="00B24CDF"/>
    <w:rsid w:val="00B940D6"/>
    <w:rsid w:val="00BA0A3D"/>
    <w:rsid w:val="00C02BE9"/>
    <w:rsid w:val="00C06392"/>
    <w:rsid w:val="00C5549F"/>
    <w:rsid w:val="00CA5CFE"/>
    <w:rsid w:val="00CC0EB2"/>
    <w:rsid w:val="00CC7763"/>
    <w:rsid w:val="00CF47B5"/>
    <w:rsid w:val="00CF5DCA"/>
    <w:rsid w:val="00DA0795"/>
    <w:rsid w:val="00DE383E"/>
    <w:rsid w:val="00E00C9D"/>
    <w:rsid w:val="00E81063"/>
    <w:rsid w:val="00F10C95"/>
    <w:rsid w:val="00F154DA"/>
    <w:rsid w:val="00F4683D"/>
    <w:rsid w:val="038812A4"/>
    <w:rsid w:val="055B19CC"/>
    <w:rsid w:val="35A360A9"/>
    <w:rsid w:val="37816551"/>
    <w:rsid w:val="393D4D78"/>
    <w:rsid w:val="78B671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0"/>
    <w:unhideWhenUsed/>
    <w:qFormat/>
    <w:uiPriority w:val="99"/>
    <w:rPr>
      <w:rFonts w:ascii="宋体" w:hAnsi="Courier New" w:eastAsia="宋体" w:cs="Courier New"/>
      <w:szCs w:val="21"/>
    </w:rPr>
  </w:style>
  <w:style w:type="paragraph" w:styleId="3">
    <w:name w:val="Body Text First Indent"/>
    <w:basedOn w:val="4"/>
    <w:link w:val="16"/>
    <w:semiHidden/>
    <w:unhideWhenUsed/>
    <w:uiPriority w:val="99"/>
    <w:pPr>
      <w:ind w:firstLine="420" w:firstLineChars="100"/>
    </w:pPr>
  </w:style>
  <w:style w:type="paragraph" w:styleId="4">
    <w:name w:val="Body Text"/>
    <w:basedOn w:val="1"/>
    <w:link w:val="15"/>
    <w:unhideWhenUsed/>
    <w:qFormat/>
    <w:uiPriority w:val="99"/>
    <w:pPr>
      <w:spacing w:after="12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Calibri" w:hAnsi="Calibri"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纯文本 Char"/>
    <w:basedOn w:val="7"/>
    <w:link w:val="2"/>
    <w:qFormat/>
    <w:uiPriority w:val="99"/>
    <w:rPr>
      <w:rFonts w:ascii="宋体" w:hAnsi="Courier New" w:eastAsia="宋体" w:cs="Courier New"/>
      <w:szCs w:val="21"/>
    </w:r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表格】"/>
    <w:next w:val="3"/>
    <w:qFormat/>
    <w:uiPriority w:val="0"/>
    <w:pPr>
      <w:jc w:val="center"/>
    </w:pPr>
    <w:rPr>
      <w:rFonts w:ascii="Times New Roman" w:hAnsi="Times New Roman" w:eastAsia="宋体" w:cs="Times New Roman"/>
      <w:sz w:val="21"/>
      <w:szCs w:val="24"/>
      <w:lang w:val="en-US" w:eastAsia="zh-CN" w:bidi="ar-SA"/>
    </w:rPr>
  </w:style>
  <w:style w:type="character" w:customStyle="1" w:styleId="15">
    <w:name w:val="正文文本 Char"/>
    <w:basedOn w:val="7"/>
    <w:link w:val="4"/>
    <w:qFormat/>
    <w:uiPriority w:val="99"/>
  </w:style>
  <w:style w:type="character" w:customStyle="1" w:styleId="16">
    <w:name w:val="正文首行缩进 Char"/>
    <w:basedOn w:val="15"/>
    <w:link w:val="3"/>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460</Words>
  <Characters>2624</Characters>
  <Lines>21</Lines>
  <Paragraphs>6</Paragraphs>
  <TotalTime>2</TotalTime>
  <ScaleCrop>false</ScaleCrop>
  <LinksUpToDate>false</LinksUpToDate>
  <CharactersWithSpaces>3078</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2018-04-17T07:06:00Z</dcterms:created>
  <dc:creator>lenovo</dc:creator>
  <cp:lastModifiedBy>果汁酸酸</cp:lastModifiedBy>
  <dcterms:modified xsi:type="dcterms:W3CDTF">2018-11-12T03:24:58Z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